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EF93AE">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米易阳光城省级旅游度假区基础设施改造项目</w:t>
      </w:r>
    </w:p>
    <w:p w14:paraId="651D8120">
      <w:pPr>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情况说明</w:t>
      </w:r>
    </w:p>
    <w:p w14:paraId="4B48C02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3" w:firstLineChars="200"/>
        <w:jc w:val="both"/>
        <w:textAlignment w:val="auto"/>
        <w:outlineLvl w:val="0"/>
        <w:rPr>
          <w:rFonts w:hint="eastAsia" w:ascii="方正黑体_GBK" w:hAnsi="方正黑体_GBK" w:eastAsia="方正黑体_GBK" w:cs="方正黑体_GBK"/>
          <w:b/>
          <w:bCs/>
          <w:sz w:val="32"/>
          <w:szCs w:val="32"/>
          <w:lang w:val="en-US" w:eastAsia="zh-CN"/>
        </w:rPr>
      </w:pPr>
      <w:bookmarkStart w:id="117" w:name="_GoBack"/>
      <w:bookmarkEnd w:id="117"/>
      <w:bookmarkStart w:id="0" w:name="_Toc29970"/>
    </w:p>
    <w:p w14:paraId="4F849F3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3" w:firstLineChars="200"/>
        <w:jc w:val="both"/>
        <w:textAlignment w:val="auto"/>
        <w:outlineLvl w:val="0"/>
        <w:rPr>
          <w:rFonts w:hint="eastAsia" w:ascii="方正黑体_GBK" w:hAnsi="方正黑体_GBK" w:eastAsia="方正黑体_GBK" w:cs="方正黑体_GBK"/>
          <w:b/>
          <w:bCs/>
          <w:sz w:val="32"/>
          <w:szCs w:val="32"/>
          <w:lang w:val="en-US" w:eastAsia="zh-CN"/>
        </w:rPr>
      </w:pPr>
      <w:r>
        <w:rPr>
          <w:rFonts w:hint="eastAsia" w:ascii="方正黑体_GBK" w:hAnsi="方正黑体_GBK" w:eastAsia="方正黑体_GBK" w:cs="方正黑体_GBK"/>
          <w:b/>
          <w:bCs/>
          <w:sz w:val="32"/>
          <w:szCs w:val="32"/>
          <w:lang w:val="en-US" w:eastAsia="zh-CN"/>
        </w:rPr>
        <w:t>一、项目基本情况</w:t>
      </w:r>
      <w:bookmarkEnd w:id="0"/>
    </w:p>
    <w:p w14:paraId="2D1ACE8D">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eastAsia" w:ascii="方正楷体_GBK" w:hAnsi="方正楷体_GBK" w:eastAsia="方正楷体_GBK" w:cs="方正楷体_GBK"/>
          <w:b/>
          <w:bCs/>
          <w:sz w:val="32"/>
          <w:szCs w:val="32"/>
          <w:lang w:val="en-US"/>
        </w:rPr>
      </w:pPr>
      <w:bookmarkStart w:id="1" w:name="_Toc498385045"/>
      <w:bookmarkStart w:id="2" w:name="_Toc498385714"/>
      <w:bookmarkStart w:id="3" w:name="_Toc29907"/>
      <w:bookmarkStart w:id="4" w:name="_Toc29323"/>
      <w:r>
        <w:rPr>
          <w:rFonts w:hint="eastAsia" w:ascii="方正楷体_GBK" w:hAnsi="方正楷体_GBK" w:eastAsia="方正楷体_GBK" w:cs="方正楷体_GBK"/>
          <w:b/>
          <w:bCs/>
          <w:sz w:val="32"/>
          <w:szCs w:val="32"/>
          <w:lang w:val="en-US"/>
        </w:rPr>
        <w:t>（一）</w:t>
      </w:r>
      <w:bookmarkEnd w:id="1"/>
      <w:bookmarkEnd w:id="2"/>
      <w:r>
        <w:rPr>
          <w:rFonts w:hint="eastAsia" w:ascii="方正楷体_GBK" w:hAnsi="方正楷体_GBK" w:eastAsia="方正楷体_GBK" w:cs="方正楷体_GBK"/>
          <w:b/>
          <w:bCs/>
          <w:sz w:val="32"/>
          <w:szCs w:val="32"/>
          <w:lang w:val="en-US"/>
        </w:rPr>
        <w:t>市县</w:t>
      </w:r>
      <w:r>
        <w:rPr>
          <w:rFonts w:hint="eastAsia" w:ascii="方正楷体_GBK" w:hAnsi="方正楷体_GBK" w:eastAsia="方正楷体_GBK" w:cs="方正楷体_GBK"/>
          <w:b/>
          <w:bCs/>
          <w:sz w:val="32"/>
          <w:szCs w:val="32"/>
          <w:lang w:val="en-US" w:eastAsia="zh-CN"/>
        </w:rPr>
        <w:t>及</w:t>
      </w:r>
      <w:r>
        <w:rPr>
          <w:rFonts w:hint="eastAsia" w:ascii="方正楷体_GBK" w:hAnsi="方正楷体_GBK" w:eastAsia="方正楷体_GBK" w:cs="方正楷体_GBK"/>
          <w:b/>
          <w:bCs/>
          <w:sz w:val="32"/>
          <w:szCs w:val="32"/>
          <w:lang w:val="en-US"/>
        </w:rPr>
        <w:t>行业专项规划概况</w:t>
      </w:r>
      <w:bookmarkEnd w:id="3"/>
      <w:bookmarkEnd w:id="4"/>
    </w:p>
    <w:p w14:paraId="6657F5E2">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3" w:firstLineChars="200"/>
        <w:jc w:val="both"/>
        <w:textAlignment w:val="auto"/>
        <w:rPr>
          <w:rFonts w:hint="default" w:ascii="Times New Roman" w:hAnsi="Times New Roman" w:eastAsia="方正仿宋_GBK" w:cs="Times New Roman"/>
          <w:b/>
          <w:bCs/>
          <w:caps/>
          <w:kern w:val="2"/>
          <w:sz w:val="32"/>
          <w:szCs w:val="32"/>
          <w:lang w:val="en-US" w:eastAsia="zh-CN" w:bidi="ar-SA"/>
        </w:rPr>
      </w:pPr>
      <w:bookmarkStart w:id="5" w:name="_Toc11533"/>
      <w:bookmarkStart w:id="6" w:name="_Toc22969"/>
      <w:bookmarkStart w:id="7" w:name="_Toc15962"/>
      <w:bookmarkStart w:id="8" w:name="_Toc3801"/>
      <w:bookmarkStart w:id="9" w:name="_Toc20905"/>
      <w:bookmarkStart w:id="10" w:name="_Toc12991"/>
      <w:bookmarkStart w:id="11" w:name="_Toc15603"/>
      <w:bookmarkStart w:id="12" w:name="_Toc9820"/>
      <w:bookmarkStart w:id="13" w:name="_Toc3378"/>
      <w:bookmarkStart w:id="14" w:name="_Toc21332"/>
      <w:bookmarkStart w:id="15" w:name="_Toc9841"/>
      <w:bookmarkStart w:id="16" w:name="_Toc18204"/>
      <w:bookmarkStart w:id="17" w:name="_Toc30057"/>
      <w:bookmarkStart w:id="18" w:name="_Toc19274"/>
      <w:bookmarkStart w:id="19" w:name="_Toc30768"/>
      <w:bookmarkStart w:id="20" w:name="_Toc8651"/>
      <w:bookmarkStart w:id="21" w:name="_Toc29490"/>
      <w:r>
        <w:rPr>
          <w:rFonts w:hint="default" w:ascii="Times New Roman" w:hAnsi="Times New Roman" w:eastAsia="方正仿宋_GBK" w:cs="Times New Roman"/>
          <w:b/>
          <w:bCs/>
          <w:caps/>
          <w:kern w:val="2"/>
          <w:sz w:val="32"/>
          <w:szCs w:val="32"/>
          <w:lang w:val="en-US" w:eastAsia="zh-CN" w:bidi="ar-SA"/>
        </w:rPr>
        <w:t>1</w:t>
      </w:r>
      <w:r>
        <w:rPr>
          <w:rFonts w:hint="eastAsia" w:ascii="Times New Roman" w:hAnsi="Times New Roman" w:eastAsia="方正仿宋_GBK" w:cs="Times New Roman"/>
          <w:b/>
          <w:bCs/>
          <w:caps/>
          <w:kern w:val="2"/>
          <w:sz w:val="32"/>
          <w:szCs w:val="32"/>
          <w:lang w:val="en-US" w:eastAsia="zh-CN" w:bidi="ar-SA"/>
        </w:rPr>
        <w:t>.</w:t>
      </w:r>
      <w:r>
        <w:rPr>
          <w:rFonts w:hint="default" w:ascii="Times New Roman" w:hAnsi="Times New Roman" w:eastAsia="方正仿宋_GBK" w:cs="Times New Roman"/>
          <w:b/>
          <w:bCs/>
          <w:caps/>
          <w:kern w:val="2"/>
          <w:sz w:val="32"/>
          <w:szCs w:val="32"/>
          <w:lang w:val="en-US" w:eastAsia="zh-CN" w:bidi="ar-SA"/>
        </w:rPr>
        <w:t>攀枝花市经济社会发展现状</w:t>
      </w:r>
      <w:bookmarkEnd w:id="5"/>
      <w:bookmarkEnd w:id="6"/>
      <w:bookmarkEnd w:id="7"/>
      <w:bookmarkEnd w:id="8"/>
      <w:bookmarkEnd w:id="9"/>
      <w:bookmarkEnd w:id="10"/>
      <w:bookmarkEnd w:id="11"/>
      <w:bookmarkEnd w:id="12"/>
    </w:p>
    <w:p w14:paraId="5CA91BFD">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攀枝花市，</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"https://baike.baidu.com/item/%E5%9B%9B%E5%B7%9D%E7%9C%81/15626925?fromModule=lemma_inlink"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四川省</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辖地级市，别称渡口、钢城，地处中国西南川滇结合部，位于四川省最南端，东、北面与四川省</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"https://baike.baidu.com/item/%E5%87%89%E5%B1%B1%E5%BD%9D%E6%97%8F%E8%87%AA%E6%B2%BB%E5%B7%9E/2721144?fromModule=lemma_inlink"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凉山彝族自治州</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的</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"https://baike.baidu.com/item/%E4%BC%9A%E7%90%86/7262685?fromModule=lemma_inlink"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会理</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"https://baike.baidu.com/item/%E5%BE%B7%E6%98%8C/2071400?fromModule=lemma_inlink"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德昌</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"https://baike.baidu.com/item/%E7%9B%90%E6%BA%90/2947128?fromModule=lemma_inlink"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盐源</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3县接壤，西、南面与云南省的</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"https://baike.baidu.com/item/%E5%AE%81%E8%92%97/1105253?fromModule=lemma_inlink"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宁蒗</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"https://baike.baidu.com/item/%E5%8D%8E%E5%9D%AA/1200337?fromModule=lemma_inlink"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华坪</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"https://baike.baidu.com/item/%E6%B0%B8%E4%BB%81/5841539?fromModule=lemma_inlink"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永仁</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3县交界，地处攀西裂谷中南段，属侵蚀、剥蚀中山丘陵、山原峡谷地貌，夏季长，四季不分明，而旱、雨季分明，全市总面积7440平方千米。截至2022年10月，全市辖3个区、2个县。2023年末，攀枝花市户籍总人口106.65万人，常住人口121.8万人。</w:t>
      </w:r>
    </w:p>
    <w:p w14:paraId="36F27AC6">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1965年2月5日，中央正式批复同意成立攀枝花特区。攀枝花市是全国唯一以花命名的城市，享有</w:t>
      </w:r>
      <w:r>
        <w:rPr>
          <w:rFonts w:hint="eastAsia"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t>花是一座城，城是一朵花</w:t>
      </w:r>
      <w:r>
        <w:rPr>
          <w:rFonts w:hint="eastAsia"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t>的美誉；是万里长江上游第一城，</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"https://baike.baidu.com/item/%E9%87%91%E6%B2%99%E6%B1%9F/461344?fromModule=lemma_inlink"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金沙江</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"https://baike.baidu.com/item/%E9%9B%85%E7%A0%BB%E6%B1%9F/1209212?fromModule=lemma_inlink"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雅砻江</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在此交汇；是四川南向门户，是四川通往南亚、东南亚的最近点；是四川唯一的亚热带水果生产基地，盛产</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"https://baike.baidu.com/item/%E8%8A%92%E6%9E%9C/31490?fromModule=lemma_inlink"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芒果</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"https://baike.baidu.com/item/%E6%9E%87%E6%9D%B7/103964?fromModule=lemma_inlink"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枇杷</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"https://baike.baidu.com/item/%E8%8E%B2%E9%9B%BE/621931?fromModule=lemma_inlink"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莲雾</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"https://baike.baidu.com/item/%E7%9F%B3%E6%A6%B4/17869?fromModule=lemma_inlink"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石榴</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"https://baike.baidu.com/item/%E8%8D%89%E8%8E%93/32702?fromModule=lemma_inlink"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草莓</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"https://baike.baidu.com/item/%E6%A8%B1%E6%A1%83/338?fromModule=lemma_inlink"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樱桃</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等特色水果；市境内有</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"https://baike.baidu.com/item/%E6%A0%BC%E8%90%A8%E6%8B%89%E7%94%9F%E6%80%81%E6%97%85%E6%B8%B8%E5%8C%BA/8848575?fromModule=lemma_inlink"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格萨拉生态旅游区</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"https://baike.baidu.com/item/%E4%BA%8C%E6%BB%A9%E5%9B%BD%E5%AE%B6%E6%A3%AE%E6%9E%97%E5%85%AC%E5%9B%AD/1930972?fromModule=lemma_inlink"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二滩国家森林公园</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等旅游景点。2017年10月，被住建部命名为</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"https://baike.baidu.com/item/%E5%9B%BD%E5%AE%B6%E5%9B%AD%E6%9E%97%E5%9F%8E%E5%B8%82/1448956?fromModule=lemma_inlink"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国家园林城市</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。2018年11月，入选中国城市全面小康指数前100名。</w:t>
      </w:r>
    </w:p>
    <w:p w14:paraId="50B8F22B">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2024年，攀枝花市实现地区生产总值1395.24亿元，比上年增长6.3%。</w:t>
      </w:r>
    </w:p>
    <w:p w14:paraId="4C121407">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bookmarkStart w:id="22" w:name="_Toc32478"/>
      <w:bookmarkStart w:id="23" w:name="_Toc20794"/>
      <w:bookmarkStart w:id="24" w:name="_Toc9104"/>
      <w:bookmarkStart w:id="25" w:name="_Toc7282"/>
      <w:bookmarkStart w:id="26" w:name="_Toc28656"/>
      <w:bookmarkStart w:id="27" w:name="_Toc12974"/>
      <w:r>
        <w:rPr>
          <w:rFonts w:hint="default" w:ascii="Times New Roman" w:hAnsi="Times New Roman" w:eastAsia="方正仿宋_GBK" w:cs="Times New Roman"/>
          <w:b w:val="0"/>
          <w:bCs w:val="0"/>
          <w:caps/>
          <w:kern w:val="2"/>
          <w:sz w:val="32"/>
          <w:szCs w:val="32"/>
          <w:lang w:val="en-US" w:eastAsia="zh-CN" w:bidi="ar-SA"/>
        </w:rPr>
        <w:t>（1）位置境域</w:t>
      </w:r>
    </w:p>
    <w:p w14:paraId="77167911">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攀枝花市，位于中国西南川滇交界部，北纬26°05′—27°21′，东经101°08′—102°15′，</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"https://baike.baidu.com/item/%E9%87%91%E6%B2%99%E6%B1%9F/461344?fromModule=lemma_inlink"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金沙江</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与</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"https://baike.baidu.com/item/%E9%9B%85%E7%A0%BB%E6%B1%9F/1209212?fromModule=lemma_inlink"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雅砻江</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交汇于此。东、北面与四川省</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"https://baike.baidu.com/item/%E5%87%89%E5%B1%B1%E5%BD%9D%E6%97%8F%E8%87%AA%E6%B2%BB%E5%B7%9E/2721144?fromModule=lemma_inlink"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凉山彝族自治州</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的</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"https://baike.baidu.com/item/%E4%BC%9A%E7%90%86/7262685?fromModule=lemma_inlink"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会理</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"https://baike.baidu.com/item/%E5%BE%B7%E6%98%8C/2071400?fromModule=lemma_inlink"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德昌</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"https://baike.baidu.com/item/%E7%9B%90%E6%BA%90/2947128?fromModule=lemma_inlink"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盐源</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3县接壤，西、南面与云南省的</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"https://baike.baidu.com/item/%E5%AE%81%E8%92%97/1105253?fromModule=lemma_inlink"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宁蒗</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"https://baike.baidu.com/item/%E5%8D%8E%E5%9D%AA/1200337?fromModule=lemma_inlink"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华坪</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"https://baike.baidu.com/item/%E6%B0%B8%E4%BB%81/5841539?fromModule=lemma_inlink"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永仁</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3县交界，总面积7440平方千米；北距成都749千米，南接昆明351千米，是四川省通往华南、东南亚沿边、沿海口岸的最近点。</w:t>
      </w:r>
    </w:p>
    <w:p w14:paraId="03D449B9">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（2）地形地貌</w:t>
      </w:r>
    </w:p>
    <w:p w14:paraId="02E2CB52">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攀枝花市地处攀西裂谷中南段，属浸蚀、剥蚀中山丘陵、山原峡谷地貌，具有山高谷深，盆地交错分布的特点，地势由西北向东南倾斜，山脉走向近于南北，是</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"https://baike.baidu.com/item/%E5%A4%A7%E9%9B%AA%E5%B1%B1/31616?fromModule=lemma_inlink"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大雪山</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的南延部分。海拔最高点位于盐边县境内的柏林山穿洞子（4195.5米），最低点位于仁和区</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"https://baike.baidu.com/item/%E5%B9%B3%E5%9C%B0%E9%95%87/6190446?fromModule=lemma_inlink"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平地镇</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师庄（937米），相对高度3258.5米，一般相对高差1500米—2000米。</w:t>
      </w:r>
    </w:p>
    <w:p w14:paraId="1027ADC3">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（3）气候</w:t>
      </w:r>
    </w:p>
    <w:p w14:paraId="79B7FDFD">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攀枝花市属南亚热带——北温带的多种气候类型，被称为“南亚热带为基带的立体气候”，具有夏季长，四季不分明，而旱、雨季分明，昼夜温差大，气候干燥，降雨量集中，日照长，太阳辐射强，蒸发量大，小气候复杂多样等特点。年平均气温是四川省年平均气温总热量最高的地区，无霜期300天以上。</w:t>
      </w:r>
    </w:p>
    <w:p w14:paraId="6B3A74FA">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bookmarkStart w:id="28" w:name="水文"/>
      <w:bookmarkEnd w:id="28"/>
      <w:bookmarkStart w:id="29" w:name="3-4"/>
      <w:bookmarkEnd w:id="29"/>
      <w:r>
        <w:rPr>
          <w:rFonts w:hint="default" w:ascii="Times New Roman" w:hAnsi="Times New Roman" w:eastAsia="方正仿宋_GBK" w:cs="Times New Roman"/>
          <w:b w:val="0"/>
          <w:bCs w:val="0"/>
          <w:caps/>
          <w:kern w:val="2"/>
          <w:sz w:val="32"/>
          <w:szCs w:val="32"/>
          <w:lang w:val="en-US" w:eastAsia="zh-CN" w:bidi="ar-SA"/>
        </w:rPr>
        <w:t>（4）水文</w:t>
      </w:r>
    </w:p>
    <w:p w14:paraId="08DAE4DA">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攀枝花市隶属</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"https://baike.baidu.com/item/%E9%95%BF%E6%B1%9F%E6%B0%B4%E7%B3%BB/2238328?fromModule=lemma_inlink"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长江水系</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，河流多，境内有大小河流95条，分属金沙江水系、雅砻江水系，两水系在</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"https://baike.baidu.com/item/%E9%9B%85%E6%B1%9F%E6%A1%A5/16185379?fromModule=lemma_inlink"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雅江桥</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处汇合。流域控制面积较大的主要有</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"https://baike.baidu.com/item/%E5%AE%89%E5%AE%81%E6%B2%B3/2058439?fromModule=lemma_inlink"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安宁河</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、三源河、大河三大支流。其中流域面积大于500</w:t>
      </w:r>
      <w:r>
        <w:rPr>
          <w:rFonts w:hint="eastAsia" w:ascii="Times New Roman" w:hAnsi="Times New Roman" w:eastAsia="方正仿宋_GBK" w:cs="Times New Roman"/>
          <w:b w:val="0"/>
          <w:bCs w:val="0"/>
          <w:caps/>
          <w:kern w:val="2"/>
          <w:sz w:val="32"/>
          <w:szCs w:val="32"/>
          <w:lang w:val="en-US" w:eastAsia="zh-CN" w:bidi="ar-SA"/>
        </w:rPr>
        <w:t>平方千米</w:t>
      </w:r>
      <w:r>
        <w:rPr>
          <w:rFonts w:hint="default" w:ascii="Times New Roman" w:hAnsi="Times New Roman" w:eastAsia="方正仿宋_GBK" w:cs="Times New Roman"/>
          <w:b w:val="0"/>
          <w:bCs w:val="0"/>
          <w:caps/>
          <w:kern w:val="2"/>
          <w:sz w:val="32"/>
          <w:szCs w:val="32"/>
          <w:lang w:val="en-US" w:eastAsia="zh-CN" w:bidi="ar-SA"/>
        </w:rPr>
        <w:t>的6条；100平方千米—500平方千米的26条；50平方千米—100平方千米的18条；5平方千米—50平方千米的小河流只统计直接汇入金沙江、雅砻江的45条。</w:t>
      </w:r>
    </w:p>
    <w:p w14:paraId="2699A57E">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（5）水资源</w:t>
      </w:r>
    </w:p>
    <w:p w14:paraId="2FE7B7FA">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攀枝花水能资源丰沛，水能资源理论蕴藏量687.9万千瓦，可开发量达到599.4万千瓦。攀枝花地区水能资源分布集中，主要分布在过境的</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"https://baike.baidu.com/item/%E9%87%91%E6%B2%99%E6%B1%9F/461344?fromModule=lemma_inlink"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金沙江</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"https://baike.baidu.com/item/%E9%9B%85%E7%A0%BB%E6%B1%9F/1209212?fromModule=lemma_inlink"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雅砻江</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，以及支流</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"https://baike.baidu.com/item/%E5%AE%89%E5%AE%81%E6%B2%B3/2058439?fromModule=lemma_inlink"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安宁河</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、永兴河、</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"https://baike.baidu.com/item/%E8%97%A4%E6%A1%A5%E6%B2%B3/3210508?fromModule=lemma_inlink"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藤桥河</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p>
    <w:p w14:paraId="7351675B">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bookmarkStart w:id="30" w:name="植物资源"/>
      <w:bookmarkEnd w:id="30"/>
      <w:bookmarkStart w:id="31" w:name="4-2"/>
      <w:bookmarkEnd w:id="31"/>
      <w:r>
        <w:rPr>
          <w:rFonts w:hint="default" w:ascii="Times New Roman" w:hAnsi="Times New Roman" w:eastAsia="方正仿宋_GBK" w:cs="Times New Roman"/>
          <w:b w:val="0"/>
          <w:bCs w:val="0"/>
          <w:caps/>
          <w:kern w:val="2"/>
          <w:sz w:val="32"/>
          <w:szCs w:val="32"/>
          <w:lang w:val="en-US" w:eastAsia="zh-CN" w:bidi="ar-SA"/>
        </w:rPr>
        <w:t>（6）植物资源</w:t>
      </w:r>
    </w:p>
    <w:p w14:paraId="0EEFE87C">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攀枝花市境内野生植物有190余科，900属，2300余种，其中仁和区境内有各种野生植物资源130科，372属，546种。包括：</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"https://baike.baidu.com/item/%E8%95%A8%E7%B1%BB%E6%A4%8D%E7%89%A9/1234852?fromModule=lemma_inlink"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蕨类植物</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9科，13属，24种（包括2个变种）；</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"https://baike.baidu.com/item/%E8%A3%B8%E5%AD%90%E6%A4%8D%E7%89%A9/281465?fromModule=lemma_inlink"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裸子植物</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4科，5属，9种（包括1个变种）；</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"https://baike.baidu.com/item/%E5%8F%8C%E5%AD%90%E5%8F%B6%E6%A4%8D%E7%89%A9/1787647?fromModule=lemma_inlink"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双子叶植物</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105科，306属，453种（包括18个变种、3个亚种）；</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"https://baike.baidu.com/item/%E5%8D%95%E5%AD%90%E5%8F%B6%E6%A4%8D%E7%89%A9/7286744?fromModule=lemma_inlink"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单子叶植物</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12科，48属，60种（包括4个变种）。境内珍稀植物有：</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"https://baike.baidu.com/item/%E6%94%80%E6%9E%9D%E8%8A%B1%E8%8B%8F%E9%93%81/801687?fromModule=lemma_inlink"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攀枝花苏铁</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"https://baike.baidu.com/item/%E6%A4%B4%E6%A0%91/4831201?fromModule=lemma_inlink"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椴树</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"https://baike.baidu.com/item/%E9%93%B6%E6%9D%8F/229130?fromModule=lemma_inlink"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银杏</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"https://baike.baidu.com/item/%E6%A2%93%E6%A0%91/1788649?fromModule=lemma_inlink"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梓树</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"https://baike.baidu.com/item/%E8%82%89%E6%A1%82/769415?fromModule=lemma_inlink"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肉桂</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"https://baike.baidu.com/item/%E5%BE%B7%E6%98%8C%E6%9D%89/13976670?fromModule=lemma_inlink"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德昌杉</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（米德杉）、</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"https://baike.baidu.com/item/%E6%9D%9C%E4%BB%B2/234?fromModule=lemma_inlink"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杜仲</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"https://baike.baidu.com/item/%E5%A4%A9%E9%BA%BB/19414428?fromModule=lemma_inlink"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天麻</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"https://baike.baidu.com/item/%E5%8E%9A%E6%9C%B4/405699?fromModule=lemma_inlink"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厚朴</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"https://baike.baidu.com/item/%E6%A5%A0%E6%9C%A8/597128?fromModule=lemma_inlink"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楠木</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10种。其中攀枝花苏铁、杜仲为国家2级保护植物，占四川省该级保护植物31种的6.45%。德昌杉、天麻、梓树、厚朴、楠木为国家3级保护植物。</w:t>
      </w:r>
    </w:p>
    <w:p w14:paraId="1C581A4A">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bookmarkStart w:id="32" w:name="动物资源"/>
      <w:bookmarkEnd w:id="32"/>
      <w:bookmarkStart w:id="33" w:name="4-3"/>
      <w:bookmarkEnd w:id="33"/>
      <w:r>
        <w:rPr>
          <w:rFonts w:hint="default" w:ascii="Times New Roman" w:hAnsi="Times New Roman" w:eastAsia="方正仿宋_GBK" w:cs="Times New Roman"/>
          <w:b w:val="0"/>
          <w:bCs w:val="0"/>
          <w:caps/>
          <w:kern w:val="2"/>
          <w:sz w:val="32"/>
          <w:szCs w:val="32"/>
          <w:lang w:val="en-US" w:eastAsia="zh-CN" w:bidi="ar-SA"/>
        </w:rPr>
        <w:t>（7）动物资源</w:t>
      </w:r>
    </w:p>
    <w:p w14:paraId="12735C67">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攀枝花市野生动物资源极为丰富，种类也繁多。境内有野生</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"https://baike.baidu.com/item/%E8%84%8A%E6%A4%8E%E5%8A%A8%E7%89%A9/339363?fromModule=lemma_inlink"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脊椎动物</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287种（包括亚种），占四川省动物总种数（包括亚种）的22.21%，而市区面积还不到四川总面积的2%。其中野生经济动物5纲，158种，含</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"https://baike.baidu.com/item/%E5%93%BA%E4%B9%B3%E7%BA%B2/525725?fromModule=lemma_inlink"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哺乳纲</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动物7目，12科，25种，4个亚种；</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"https://baike.baidu.com/item/%E9%B8%9F%E7%BA%B2/1194548?fromModule=lemma_inlink"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鸟纲</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有6目，26科，30种，38个亚种；</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"https://baike.baidu.com/item/%E7%88%AC%E8%A1%8C%E7%BA%B2/383233?fromModule=lemma_inlink"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爬行纲</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3目，5科，9种；</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"https://baike.baidu.com/item/%E4%B8%A4%E6%A0%96%E7%BA%B2/620294?fromModule=lemma_inlink"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两栖纲</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1目，4科，7种；鱼纲有4目，14科，45种。境内被列入国家保护的珍稀野生动物有19种，占四川省被列入国家保护的珍稀野生动物59种的32.20%，另有猛禽4种，占四川省猛禽37种的10.81%。</w:t>
      </w:r>
    </w:p>
    <w:p w14:paraId="4DDBDF9F">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bookmarkStart w:id="34" w:name="4-4"/>
      <w:bookmarkEnd w:id="34"/>
      <w:bookmarkStart w:id="35" w:name="矿产资源"/>
      <w:bookmarkEnd w:id="35"/>
      <w:r>
        <w:rPr>
          <w:rFonts w:hint="default" w:ascii="Times New Roman" w:hAnsi="Times New Roman" w:eastAsia="方正仿宋_GBK" w:cs="Times New Roman"/>
          <w:b w:val="0"/>
          <w:bCs w:val="0"/>
          <w:caps/>
          <w:kern w:val="2"/>
          <w:sz w:val="32"/>
          <w:szCs w:val="32"/>
          <w:lang w:val="en-US" w:eastAsia="zh-CN" w:bidi="ar-SA"/>
        </w:rPr>
        <w:t>（8）矿产资源</w:t>
      </w:r>
    </w:p>
    <w:p w14:paraId="0C5EC2F2">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攀枝花市已探明铁矿（主要是钒钛磁铁矿）71.8亿吨，占四川省探明铁矿资源储量的72.3%，是中国四大铁矿区之一；伴生钛资源储量占全国的93%，居世界第一；伴生钒资源储量占全国的63%，居世界第三。探明石墨资源储量全国第三。经过多年开发利用，全市钒钛磁铁矿保有资源储量66.4亿吨，其中伴生钛矿4.3亿吨，伴生钒矿1020.3万吨；钴查明资源储量2.7万吨，此外还伴生有铬、镓、钪、镍、铜、铅、锌、锰、铂等多种稀贵金属；非金属矿产中，煤炭保有资源储量3.4亿吨，</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"https://baike.baidu.com/item/%E6%99%B6%E8%B4%A8%E7%9F%B3%E5%A2%A8/5796075?fromModule=lemma_inlink"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晶质石墨</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保有资源储量1555.2万吨，</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"https://baike.baidu.com/item/%E8%8B%B4%E5%8D%B4%E7%9F%B3/22589388?fromModule=lemma_inlink"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苴却石</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保有资源储量2077.5万吨，溶剂石灰岩保有资源储量3.4亿吨，冶金</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"https://baike.baidu.com/item/%E7%99%BD%E4%BA%91%E5%B2%A9/883219?fromModule=lemma_inlink"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白云岩</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保有资源储量4743.5万吨，耐火粘土保有资源储量1209.8万吨，</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"https://baike.baidu.com/item/%E7%A1%85%E8%97%BB%E5%9C%9F/1919094?fromModule=lemma_inlink" \t "https://baike.baidu.com/item/%E6%94%80%E6%9E%9D%E8%8A%B1%E5%B8%82/_blank"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硅藻土</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保有资源储量1355.6万吨，花岗石保有资源储量8120万立方米。</w:t>
      </w:r>
    </w:p>
    <w:p w14:paraId="2E999EAE">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（9）人口数量</w:t>
      </w:r>
    </w:p>
    <w:p w14:paraId="66833EBE">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截至2022年末，攀枝花市户籍总人口106.91万人，其中农业人口51.09万人，非农业人口55.82万人。当年出生人口7629人，当年死亡人口7381人，人口自然增长率0.2‰。年末常住人口121.6万人，城镇人口85.40万人。常住人口城镇化率70.23%。全年办理结婚登记5880对，离婚登记2376对。</w:t>
      </w:r>
    </w:p>
    <w:p w14:paraId="6AA4FFFE">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2023年末，攀枝花市户籍总人口106.65万人，其中农业人口50.98万人，非农业人口55.67万人。当年出生人口8296人，当年死亡人口8993人，人口自然增长率为－0.57‰。年末常住人口121.8万人，城镇人口86.21万人。常住人口城镇化率70.78%。全年办理结婚登记6090对，离婚登记2577对。</w:t>
      </w:r>
    </w:p>
    <w:p w14:paraId="6875BB9B">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（10）经济</w:t>
      </w:r>
    </w:p>
    <w:p w14:paraId="32EA414C">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2024年，攀枝花市实现地区生产总值1395.24亿元，按不变价格计算，比上年增长6.3%。分产业看，第一产业增加值102.14亿元，比上年增长3.6%；第二产业增加值790.14亿元，比上年增长6.4%；第三产业增加值502.96亿元，比上年增长6.8%。</w:t>
      </w:r>
    </w:p>
    <w:p w14:paraId="69F06B3E">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2024年，攀枝花市固定资产投资（不含农户）比上年增长5.6%。分产业看，第一产业投资比上年下降7.1%；第二产业投资增长19.5%；第三产业投资下降7.2%。从房地产开发看，房地产开发投资比上年下降30.7%。商品房施工面积比上年下降9.2%，商品房销售面积下降15.4%。</w:t>
      </w:r>
    </w:p>
    <w:p w14:paraId="12DEFE3A">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2023年，攀枝花市居民消费价格指数（CPI）比上年上涨0.2%。其中，食品烟酒类下降0.3%，衣着类下降2.0%，居住类上涨0.6%，医疗保健类上涨1.6%，生活用品及服务类上涨1.1%。</w:t>
      </w:r>
    </w:p>
    <w:p w14:paraId="003B871A">
      <w:pPr>
        <w:pStyle w:val="16"/>
        <w:keepNext w:val="0"/>
        <w:keepLines w:val="0"/>
        <w:pageBreakBefore w:val="0"/>
        <w:widowControl w:val="0"/>
        <w:kinsoku/>
        <w:wordWrap/>
        <w:overflowPunct/>
        <w:topLinePunct w:val="0"/>
        <w:autoSpaceDE/>
        <w:autoSpaceDN/>
        <w:bidi w:val="0"/>
        <w:adjustRightInd/>
        <w:snapToGrid w:val="0"/>
        <w:spacing w:after="0" w:line="240" w:lineRule="auto"/>
        <w:ind w:left="0" w:leftChars="0" w:firstLine="0" w:firstLineChars="0"/>
        <w:jc w:val="center"/>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drawing>
          <wp:inline distT="0" distB="0" distL="114300" distR="114300">
            <wp:extent cx="3550285" cy="2880995"/>
            <wp:effectExtent l="9525" t="9525" r="21590" b="24130"/>
            <wp:docPr id="42"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7" descr="IMG_256"/>
                    <pic:cNvPicPr>
                      <a:picLocks noChangeAspect="1"/>
                    </pic:cNvPicPr>
                  </pic:nvPicPr>
                  <pic:blipFill>
                    <a:blip r:embed="rId8"/>
                    <a:stretch>
                      <a:fillRect/>
                    </a:stretch>
                  </pic:blipFill>
                  <pic:spPr>
                    <a:xfrm>
                      <a:off x="0" y="0"/>
                      <a:ext cx="3550285" cy="2880995"/>
                    </a:xfrm>
                    <a:prstGeom prst="rect">
                      <a:avLst/>
                    </a:prstGeom>
                    <a:noFill/>
                    <a:ln w="9525">
                      <a:solidFill>
                        <a:schemeClr val="tx1"/>
                      </a:solidFill>
                    </a:ln>
                  </pic:spPr>
                </pic:pic>
              </a:graphicData>
            </a:graphic>
          </wp:inline>
        </w:drawing>
      </w:r>
    </w:p>
    <w:p w14:paraId="1A4B88F0">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3" w:firstLineChars="200"/>
        <w:jc w:val="left"/>
        <w:textAlignment w:val="auto"/>
        <w:rPr>
          <w:rFonts w:hint="default" w:ascii="Times New Roman" w:hAnsi="Times New Roman" w:eastAsia="方正仿宋_GBK" w:cs="Times New Roman"/>
          <w:b/>
          <w:bCs/>
          <w:caps/>
          <w:kern w:val="2"/>
          <w:sz w:val="32"/>
          <w:szCs w:val="32"/>
          <w:lang w:val="en-US" w:eastAsia="zh-CN" w:bidi="ar-SA"/>
        </w:rPr>
      </w:pPr>
      <w:bookmarkStart w:id="36" w:name="_Toc10211"/>
      <w:r>
        <w:rPr>
          <w:rFonts w:hint="default" w:ascii="Times New Roman" w:hAnsi="Times New Roman" w:eastAsia="方正仿宋_GBK" w:cs="Times New Roman"/>
          <w:b/>
          <w:bCs/>
          <w:caps/>
          <w:kern w:val="2"/>
          <w:sz w:val="32"/>
          <w:szCs w:val="32"/>
          <w:lang w:val="en-US" w:eastAsia="zh-CN" w:bidi="ar-SA"/>
        </w:rPr>
        <w:t>2</w:t>
      </w:r>
      <w:r>
        <w:rPr>
          <w:rFonts w:hint="eastAsia" w:ascii="Times New Roman" w:hAnsi="Times New Roman" w:eastAsia="方正仿宋_GBK" w:cs="Times New Roman"/>
          <w:b/>
          <w:bCs/>
          <w:caps/>
          <w:kern w:val="2"/>
          <w:sz w:val="32"/>
          <w:szCs w:val="32"/>
          <w:lang w:val="en-US" w:eastAsia="zh-CN" w:bidi="ar-SA"/>
        </w:rPr>
        <w:t>.</w:t>
      </w:r>
      <w:r>
        <w:rPr>
          <w:rFonts w:hint="default" w:ascii="Times New Roman" w:hAnsi="Times New Roman" w:eastAsia="方正仿宋_GBK" w:cs="Times New Roman"/>
          <w:b/>
          <w:bCs/>
          <w:caps/>
          <w:kern w:val="2"/>
          <w:sz w:val="32"/>
          <w:szCs w:val="32"/>
          <w:lang w:val="en-US" w:eastAsia="zh-CN" w:bidi="ar-SA"/>
        </w:rPr>
        <w:t>米易县经济社会发展现状</w:t>
      </w:r>
      <w:bookmarkEnd w:id="22"/>
      <w:bookmarkEnd w:id="23"/>
      <w:bookmarkEnd w:id="24"/>
      <w:bookmarkEnd w:id="25"/>
      <w:bookmarkEnd w:id="26"/>
      <w:bookmarkEnd w:id="27"/>
      <w:bookmarkEnd w:id="36"/>
    </w:p>
    <w:p w14:paraId="5B07986A">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米易县，</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"https://baike.baidu.com/item/%E5%9B%9B%E5%B7%9D%E7%9C%81/15626925?fromModule=lemma_inlink"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四川省</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"https://baike.baidu.com/item/%E6%94%80%E6%9E%9D%E8%8A%B1%E5%B8%82/494060?fromModule=lemma_inlink"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攀枝花市</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辖县，位于四川省西南角，</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"https://baike.baidu.com/item/%E6%94%80%E6%9E%9D%E8%8A%B1%E5%B8%82/494060?fromModule=lemma_inlink"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攀枝花市</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东北部，</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"https://baike.baidu.com/item/%E5%AE%89%E5%AE%81%E6%B2%B3/2058439?fromModule=lemma_inlink"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安宁河</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与</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"https://baike.baidu.com/item/%E9%9B%85%E7%A0%BB%E6%B1%9F/1209212?fromModule=lemma_inlink"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雅砻江</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交汇区，介于北纬26°42′～27°10′，东经101°44′～102°15′之间，辖区面积2153平方千米。米易县气候属于南亚热带为基带的干热河谷立体气候。干、雨季分明而四季不分明，河谷区全年无冬，秋、春季相连，夏季长达5个多月。截至2025年6月，米易县辖7个镇、4个乡，县政府驻</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"https://baike.baidu.com/item/%E6%94%80%E8%8E%B2%E9%95%87/6906534?fromModule=lemma_inlink"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攀莲镇</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。境内有</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"https://baike.baidu.com/item/%E6%B1%89%E6%97%8F/130605?fromModule=lemma_inlink"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汉族</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"https://baike.baidu.com/item/%E5%BD%9D%E6%97%8F/130821?fromModule=lemma_inlink"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彝族</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"https://baike.baidu.com/item/%E5%82%88%E5%83%B3%E6%97%8F/164145?fromModule=lemma_inlink"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傈僳族</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等26个民族。截至2023年末，米易县22.8万人，城镇化率为46.69%。</w:t>
      </w:r>
    </w:p>
    <w:p w14:paraId="5A7E9F93">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米易地区建制始于元朝，元世祖</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"https://baike.baidu.com/item/%E8%87%B3%E5%85%83/386003?fromModule=lemma_inlink"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至元</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九年（1272年），元王朝在西昌设“罗罗斯宣慰司”集云南行省，辖五路二十三州，明朝归并四川省，设米易守御千户所，1978年11月5日，米易县划归渡口市管辖，1987年1月，渡口市更名为攀枝花市。境内有214省道、西攀高速公路和成昆铁路以及成昆铁路复线由北向南纵贯全境。米易县古为</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"https://baike.baidu.com/item/%E4%B8%89%E7%9A%87%E4%BA%94%E5%B8%9D/138427?fromModule=lemma_inlink"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三皇五帝</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中第二大帝——</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"https://baike.baidu.com/item/%E9%A2%9B%E9%A1%BC/7226038?fromModule=lemma_inlink"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颛顼</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的诞生之地，素有“颛顼故里·阳光米易”的美称，是“</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"https://baike.baidu.com/item/%E4%B8%AD%E5%9B%BD%E9%A2%9B%E9%A1%BC%E6%96%87%E5%8C%96%E4%B9%8B%E4%B9%A1/19286962?fromModule=lemma_inlink"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中国颛顼文化之乡</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”。境内有</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"https://baike.baidu.com/item/%E9%A2%9B%E9%A1%BC%E9%BE%99%E6%B4%9E/0?fromModule=lemma_inlink"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颛顼龙洞</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、海塔世外桃源、普威绿野花乡、青松林农业公园等景点。</w:t>
      </w:r>
    </w:p>
    <w:p w14:paraId="70E30F76">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2023年，米易县实现地区生产总值196.85亿元，按可比价格计算，比上年增长6.8%。三次产业结构比为21.2:42.8:36。人均地区生产总值86337元，增长6.5%。</w:t>
      </w:r>
    </w:p>
    <w:p w14:paraId="5908EFD9">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（1）位置境域</w:t>
      </w:r>
    </w:p>
    <w:p w14:paraId="729BE440">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米易县位于青藏高原东南缘，四川省西南角，攀枝花市东北部，安宁河与雅砻江交汇区。介于北纬26°42′～27°10′，东经101°44′～102°15′之间，东与</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"https://baike.baidu.com/item/%E5%87%89%E5%B1%B1%E5%BD%9D%E6%97%8F%E8%87%AA%E6%B2%BB%E5%B7%9E/2721144?fromModule=lemma_inlink"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凉山彝族自治州</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"https://baike.baidu.com/item/%E4%BC%9A%E7%90%86%E5%B8%82/55986645?fromModule=lemma_inlink"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会理市</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、南与攀枝花市</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"https://baike.baidu.com/item/%E7%9B%90%E8%BE%B9%E5%8E%BF/6906339?fromModule=lemma_inlink"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盐边县</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山岭相连，西与攀枝花市盐边县、凉山彝族自治州</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"https://baike.baidu.com/item/%E7%9B%90%E6%BA%90%E5%8E%BF/6862688?fromModule=lemma_inlink"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盐源县</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以雅砻江为界，北与凉山彝族自治州</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"https://baike.baidu.com/item/%E5%BE%B7%E6%98%8C%E5%8E%BF/6862534?fromModule=lemma_inlink"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德昌县</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陆路相接，南距市政府驻地攀枝花市公路里程80千米，北距省政府驻地</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"https://baike.baidu.com/item/%E6%88%90%E9%83%BD%E5%B8%82/5020801?fromModule=lemma_inlink"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成都市</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700千米。境内东西最大横跨52.5千米，南北最大纵距73.2千米，辖区面积2153平方千米。</w:t>
      </w:r>
    </w:p>
    <w:p w14:paraId="0AFA195F">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（2）地质</w:t>
      </w:r>
    </w:p>
    <w:p w14:paraId="41CEF67F">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米易县地处扬子准地台西南部，属川滇南北构造带中段。本区前震旦纪是一个不稳定的地槽，晋宁运动后褶皱回返隆起经区域变质构成结晶基底，从而形成了相对稳定的地台区。</w:t>
      </w:r>
    </w:p>
    <w:p w14:paraId="050E2F22">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（3）地层</w:t>
      </w:r>
    </w:p>
    <w:p w14:paraId="78FC3637">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地区经晋宁运动前期及晋宁运动后，前震旦系强烈褶皱、变质，形成康滇古陆结晶基底，沉积河口组下部地层，其后轴部隆起，两侧坳陷，元古代沉积上显示一定的差异，轴部古生代地层残缺不全，局部出露震旦、奥陶及二叠纪地层。缺失志留纪、泥盆纪、石炭纪地层。震旦纪至古生代地层属海相碳酸盐，陆缘碎屑相及陆相火山喷发。地层厚达千余米，两侧由震旦纪至古生代地层，厚度为轴部的2至3倍。</w:t>
      </w:r>
    </w:p>
    <w:p w14:paraId="4198AE59">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（4）地形地貌</w:t>
      </w:r>
    </w:p>
    <w:p w14:paraId="65DC91FB">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米易县地势北高南低，呈南北走向。中部的安宁河系“∪”型湖盆宽谷，西部的雅砻江系“Ⅴ”型深切河谷。安宁河的东、西和雅砻江东面为坡，深谷、盆地、平坝、低中山地、中山山地、高中山山地和亚高山地分布在安宁河东部龙肘山、雅砻江东面白坡山及安宁河谷地区。</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"https://baike.baidu.com/item/%E9%BE%99%E8%82%98%E5%B1%B1/0?fromModule=lemma_inlink"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龙肘山</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中深谷区，海拔1500米～3395米，地形变化较大，山势较为陡峭形成深切沟谷和梯、台地；安宁河西坡——中部中山山地和山间盆地区，海拔1500米～3447米，为中部安宁河与西部雅砻江的分水岭，形成比较宽坦，山势较为平坦，海拔1700米～2000米的普威、海塔等山间盆地发育其间；雅砻江东坡——西部雅砻江至白坡山中山深谷，海拔980米～1500米，山地海拔1500米～3447米，河谷幽深，山势陡峭；安宁河宽谷海拔980米～1500米，由串珠状湖盆式河谷形成，地势平缓，阶地发达，有挂榜盆地、典所盆地、湾崃盆地和垭口盆地。海拔980米～1150米为河谷平坝；海拔1150米～1500米为低中山地；海拔1500米～2000米为中山山地；海拔2000米～2500米为高中山山地；海拔2500米～3447米为亚高山地。境内最低海拔点在得石镇的安宁河口，为980米；最高海拔点在白坡彝族乡的白坡山顶峰，为3447米，平均海拔1836.2米，相对高差2467米。</w:t>
      </w:r>
    </w:p>
    <w:p w14:paraId="13235B6F">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bookmarkStart w:id="37" w:name="气候"/>
      <w:bookmarkEnd w:id="37"/>
      <w:r>
        <w:rPr>
          <w:rFonts w:hint="default" w:ascii="Times New Roman" w:hAnsi="Times New Roman" w:eastAsia="方正仿宋_GBK" w:cs="Times New Roman"/>
          <w:b w:val="0"/>
          <w:bCs w:val="0"/>
          <w:caps/>
          <w:kern w:val="2"/>
          <w:sz w:val="32"/>
          <w:szCs w:val="32"/>
          <w:lang w:val="en-US" w:eastAsia="zh-CN" w:bidi="ar-SA"/>
        </w:rPr>
        <w:t>（5）气候</w:t>
      </w:r>
    </w:p>
    <w:p w14:paraId="253D8FD3">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米易县城海拔1100米，人口集中居住区平均海拔1300米左右，属南亚热带干热河谷立体气候，拥有得天独厚的光热资源，年均气温20.5℃、日照2700小时、降雨量1110毫米，森林覆盖率达64.3%，空气质量优良率达99%。米易一年四季阳光明媚、一年四季温暖如春、一年四季瓜果飘香、一年四季空气清新，是天然的大地温室和全国少有的热作区，早春蔬菜、冬春枇杷、晚熟芒果等特色农产品以“早、稀、特、优”的特点驰名中外，系全国现代农业示范区和国家级“南菜北运”基地。海拔、温度、湿度、洁净度、优产度、和谐度等“六度”禀赋的完美结合，造就了“夏季清凉、冬日暖阳”的康养度假理想目的地，被称为“内陆三亚”。</w:t>
      </w:r>
    </w:p>
    <w:p w14:paraId="5B266704">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bookmarkStart w:id="38" w:name="3-5"/>
      <w:bookmarkEnd w:id="38"/>
      <w:r>
        <w:rPr>
          <w:rFonts w:hint="default" w:ascii="Times New Roman" w:hAnsi="Times New Roman" w:eastAsia="方正仿宋_GBK" w:cs="Times New Roman"/>
          <w:b w:val="0"/>
          <w:bCs w:val="0"/>
          <w:caps/>
          <w:kern w:val="2"/>
          <w:sz w:val="32"/>
          <w:szCs w:val="32"/>
          <w:lang w:val="en-US" w:eastAsia="zh-CN" w:bidi="ar-SA"/>
        </w:rPr>
        <w:t>（6）水文</w:t>
      </w:r>
    </w:p>
    <w:p w14:paraId="46314B99">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米易县全境均属雅砻江流域，主要河流有两条，一是</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"https://baike.baidu.com/item/%E5%AE%89%E5%AE%81%E6%B2%B3/2058439?fromModule=lemma_inlink"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安宁河</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，二是</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"https://baike.baidu.com/item/%E9%9B%85%E7%A0%BB%E6%B1%9F/1209212?fromModule=lemma_inlink"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雅砻江</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。安宁河从湾丘彝族乡入境，流经境内湾丘、白马、草场、攀莲、丙谷、撒莲、得石7个乡（镇），流域面积1769平方千米，全长78千米，在得石镇出境汇入雅砻江。</w:t>
      </w:r>
    </w:p>
    <w:p w14:paraId="612C8521">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（7）土地资源</w:t>
      </w:r>
    </w:p>
    <w:p w14:paraId="3E7FE1EA">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米易县主要地类数据：耕地20533.33公顷（30.80万亩），耕地主要分布在撒莲镇、丙谷镇、攀莲镇、湾丘彝族乡、白马镇、麻陇彝族乡，占全县耕地的75.48%；园地27968.25公顷（41.95万亩），园地主要分布在白马镇、草场镇、丙谷镇、白坡彝族乡、普威镇、麻陇彝族乡、攀莲镇，占全县园地的74.87%；林地134066.15公顷（201.10万亩），林地主要分布在白坡彝族乡、得石镇、麻陇彝族乡、撒莲镇、白马镇、丙谷镇，占全县林地的73.27%；草地5736.32公顷（8.60万亩），草地主要分布在得石镇、攀莲镇、撒莲镇、白马镇、麻陇彝族乡、湾丘彝族乡、白坡彝族乡，占全县草地的76.45%；湿地222.84公顷（0.33万亩），主要分布在湾丘彝族乡、攀莲镇、撒莲镇，占全县湿地的73.70%；城镇村及工矿用地8620.68公顷（12.93万亩）；交通运输用地2576.23公顷（3.86万亩）；水域及水利设施用地6382.7公顷（9.57万亩）。</w:t>
      </w:r>
    </w:p>
    <w:p w14:paraId="63E60639">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bookmarkStart w:id="39" w:name="水能资源"/>
      <w:bookmarkEnd w:id="39"/>
      <w:r>
        <w:rPr>
          <w:rFonts w:hint="default" w:ascii="Times New Roman" w:hAnsi="Times New Roman" w:eastAsia="方正仿宋_GBK" w:cs="Times New Roman"/>
          <w:b w:val="0"/>
          <w:bCs w:val="0"/>
          <w:caps/>
          <w:kern w:val="2"/>
          <w:sz w:val="32"/>
          <w:szCs w:val="32"/>
          <w:lang w:val="en-US" w:eastAsia="zh-CN" w:bidi="ar-SA"/>
        </w:rPr>
        <w:t>（8）水能资源</w:t>
      </w:r>
    </w:p>
    <w:p w14:paraId="3AAE0C86">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米易县安宁河汛期最大洪峰流量3768立方米/秒，水能资源理论蕴藏量29.84万千瓦，可开发量12.75万千瓦。汇入安宁河干流的楠木河等主要支流，集雨面积均在100平方千米以上；汇入雅砻江水域的普威河支流集雨面积323平方千米。各支流河道上部大都坡高山徒，植被好，雨量充沛。支流河道楠木河、普威河、草场河蕴藏可开发利用的水能资源，能够建成一级或多级电源点。安宁河流域上建有乌龟石、小三峡、城南、湾滩等电站。</w:t>
      </w:r>
    </w:p>
    <w:p w14:paraId="784F9CFD">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（9）矿产资源</w:t>
      </w:r>
    </w:p>
    <w:p w14:paraId="6CC04EBF">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米易县位于康滇成矿带中段，金属、非金属矿产资源丰富，全县已发现有矿产资源13类50余种、矿产地175处，其中大型矿床14个、中型矿床27个、小型矿床19个、矿点47个、矿化点68个。已得到开发利用的矿种13种。其中，累计探明钒钛磁铁矿储量达49亿吨，伴生钒、钛资源储量分别为510万吨和1.5亿吨；“中华绿”“豹皮花”“冰花蓝”“二滩蓝”花岗石资源储量1.2亿立方米以上；硅藻土矿资源储量约1356.2万吨。此外还有铅锌、</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"https://baike.baidu.com/item/%E9%93%9C/668243?fromModule=lemma_inlink"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铜</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"https://baike.baidu.com/item/%E9%94%B0/701057?fromModule=lemma_inlink"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锰</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"https://baike.baidu.com/item/%E9%87%91/8243?fromModule=lemma_inlink"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金</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"https://baike.baidu.com/item/%E9%93%80/444442?fromModule=lemma_inlink"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铀</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"https://baike.baidu.com/item/%E9%95%8D/718682?fromModule=lemma_inlink"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镍</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"https://baike.baidu.com/item/%E7%A3%B7/722011?fromModule=lemma_inlink"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磷</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"https://baike.baidu.com/item/%E9%92%BE/156200?fromModule=lemma_inlink"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钾</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、铝土、</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"https://baike.baidu.com/item/%E9%AB%98%E5%B2%AD%E5%9C%9F/4219537?fromModule=lemma_inlink"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高岭土</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"https://baike.baidu.com/item/%E6%B0%B4%E6%99%B6%E7%9F%B3/3973255?fromModule=lemma_inlink"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水晶石</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"https://baike.baidu.com/item/%E7%9F%B3%E5%A2%A8/170036?fromModule=lemma_inlink"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石墨</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、地热等矿产资源。</w:t>
      </w:r>
    </w:p>
    <w:p w14:paraId="18770291">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bookmarkStart w:id="40" w:name="生物资源"/>
      <w:bookmarkEnd w:id="40"/>
      <w:r>
        <w:rPr>
          <w:rFonts w:hint="default" w:ascii="Times New Roman" w:hAnsi="Times New Roman" w:eastAsia="方正仿宋_GBK" w:cs="Times New Roman"/>
          <w:b w:val="0"/>
          <w:bCs w:val="0"/>
          <w:caps/>
          <w:kern w:val="2"/>
          <w:sz w:val="32"/>
          <w:szCs w:val="32"/>
          <w:lang w:val="en-US" w:eastAsia="zh-CN" w:bidi="ar-SA"/>
        </w:rPr>
        <w:t>（10）生物资源</w:t>
      </w:r>
    </w:p>
    <w:p w14:paraId="339989A9">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米易县境内野生生物资源丰富，种类较多。植物类呈3个分布层：干热河谷稀树草坡层；中山峡谷阔叶混交林以及云南松纯林带层；高山针阔叶林混交以及灌木丛林层。主要植物为禾本科、松科、山毛榉科、杜鹃科、壳斗科等，主要树种有云南松、云南油杉、黄杉、云杉、木棉（又名</w:t>
      </w:r>
      <w:r>
        <w:rPr>
          <w:rFonts w:hint="default" w:ascii="Times New Roman" w:hAnsi="Times New Roman" w:eastAsia="方正仿宋_GBK" w:cs="Times New Roman"/>
          <w:b w:val="0"/>
          <w:bCs w:val="0"/>
          <w:caps/>
          <w:kern w:val="2"/>
          <w:sz w:val="32"/>
          <w:szCs w:val="32"/>
          <w:lang w:val="en-US" w:eastAsia="zh-CN" w:bidi="ar-SA"/>
        </w:rPr>
        <w:fldChar w:fldCharType="begin"/>
      </w:r>
      <w:r>
        <w:rPr>
          <w:rFonts w:hint="default" w:ascii="Times New Roman" w:hAnsi="Times New Roman" w:eastAsia="方正仿宋_GBK" w:cs="Times New Roman"/>
          <w:b w:val="0"/>
          <w:bCs w:val="0"/>
          <w:caps/>
          <w:kern w:val="2"/>
          <w:sz w:val="32"/>
          <w:szCs w:val="32"/>
          <w:lang w:val="en-US" w:eastAsia="zh-CN" w:bidi="ar-SA"/>
        </w:rPr>
        <w:instrText xml:space="preserve"> HYPERLINK "https://baike.baidu.com/item/%E6%94%80%E6%9E%9D%E8%8A%B1/10894722?fromModule=lemma_inlink" \t "https://baike.baidu.com/item/%E7%B1%B3%E6%98%93%E5%8E%BF/_blank" </w:instrText>
      </w:r>
      <w:r>
        <w:rPr>
          <w:rFonts w:hint="default" w:ascii="Times New Roman" w:hAnsi="Times New Roman" w:eastAsia="方正仿宋_GBK" w:cs="Times New Roman"/>
          <w:b w:val="0"/>
          <w:bCs w:val="0"/>
          <w:caps/>
          <w:kern w:val="2"/>
          <w:sz w:val="32"/>
          <w:szCs w:val="32"/>
          <w:lang w:val="en-US" w:eastAsia="zh-CN" w:bidi="ar-SA"/>
        </w:rPr>
        <w:fldChar w:fldCharType="separate"/>
      </w:r>
      <w:r>
        <w:rPr>
          <w:rFonts w:hint="default" w:ascii="Times New Roman" w:hAnsi="Times New Roman" w:eastAsia="方正仿宋_GBK" w:cs="Times New Roman"/>
          <w:b w:val="0"/>
          <w:bCs w:val="0"/>
          <w:caps/>
          <w:kern w:val="2"/>
          <w:sz w:val="32"/>
          <w:szCs w:val="32"/>
          <w:lang w:val="en-US" w:eastAsia="zh-CN" w:bidi="ar-SA"/>
        </w:rPr>
        <w:t>攀枝花</w:t>
      </w:r>
      <w:r>
        <w:rPr>
          <w:rFonts w:hint="default" w:ascii="Times New Roman" w:hAnsi="Times New Roman" w:eastAsia="方正仿宋_GBK" w:cs="Times New Roman"/>
          <w:b w:val="0"/>
          <w:bCs w:val="0"/>
          <w:caps/>
          <w:kern w:val="2"/>
          <w:sz w:val="32"/>
          <w:szCs w:val="32"/>
          <w:lang w:val="en-US" w:eastAsia="zh-CN" w:bidi="ar-SA"/>
        </w:rPr>
        <w:fldChar w:fldCharType="end"/>
      </w:r>
      <w:r>
        <w:rPr>
          <w:rFonts w:hint="default" w:ascii="Times New Roman" w:hAnsi="Times New Roman" w:eastAsia="方正仿宋_GBK" w:cs="Times New Roman"/>
          <w:b w:val="0"/>
          <w:bCs w:val="0"/>
          <w:caps/>
          <w:kern w:val="2"/>
          <w:sz w:val="32"/>
          <w:szCs w:val="32"/>
          <w:lang w:val="en-US" w:eastAsia="zh-CN" w:bidi="ar-SA"/>
        </w:rPr>
        <w:t>、英雄树）等。县内已查明的动物资源有5纲，29目，72科，175属，264种。其中野生动物资源有186种，属国家一级保护的有小熊猫、山鹧鸪、黑头角雉、红胸角雉、细嘴松鸡等5种；国家二级保护的有穿山甲、棕熊等19种。野生动、植物药材资源有172科、411属、629种，其中收入《中华人民共和国药典》（1977年版）中289种；特殊植物“米易冠唇花”已载入《中国药物志》。</w:t>
      </w:r>
    </w:p>
    <w:p w14:paraId="79A5F02C">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截至2022年末，米易县共有野生植物种类1838种，野生动物种类264种，国家重点保护野生动物和野生植物种类35种。</w:t>
      </w:r>
    </w:p>
    <w:p w14:paraId="3584B7E0">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bookmarkStart w:id="41" w:name="4-5"/>
      <w:bookmarkEnd w:id="41"/>
      <w:bookmarkStart w:id="42" w:name="森林资源"/>
      <w:bookmarkEnd w:id="42"/>
      <w:r>
        <w:rPr>
          <w:rFonts w:hint="default" w:ascii="Times New Roman" w:hAnsi="Times New Roman" w:eastAsia="方正仿宋_GBK" w:cs="Times New Roman"/>
          <w:b w:val="0"/>
          <w:bCs w:val="0"/>
          <w:caps/>
          <w:kern w:val="2"/>
          <w:sz w:val="32"/>
          <w:szCs w:val="32"/>
          <w:lang w:val="en-US" w:eastAsia="zh-CN" w:bidi="ar-SA"/>
        </w:rPr>
        <w:t>（11）森林资源</w:t>
      </w:r>
    </w:p>
    <w:p w14:paraId="68FBBD75">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截至2022年末，米易县森林面积13.66万公顷（同比增长0.015%），森林蓄积量0.15亿立方米（同比增长2.89%），森林覆盖率64.74%（同比增长0.015%），古树名木8种，护林员219人。</w:t>
      </w:r>
    </w:p>
    <w:p w14:paraId="170814E4">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（12）人口数量</w:t>
      </w:r>
    </w:p>
    <w:p w14:paraId="71009B0C">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根据第七次人口普查数据，截至2020年11月1日零时，米易县常住人口为227011人。 [21]2020年末，米易县户籍总人口22.87万人，其中，农业人口18.8万人，非农业人口4.07万人。当年出生人口3447人，当年死亡人口1275人，人口自然增长率9.47‰。年末常住人口22.7万人。 [89]</w:t>
      </w:r>
    </w:p>
    <w:p w14:paraId="42A30803">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截至2023年末，米易县户籍总人口229369人，其中城镇人口32521人，乡村人口196848人；男性人口115567人，女性人口113802人。当年出生人口2273人，当年死亡人口1746人。人口自然增长率2.1‰。年末常住人口22.8万人，城镇化率为46.69%。</w:t>
      </w:r>
    </w:p>
    <w:p w14:paraId="68D0AB8F">
      <w:pPr>
        <w:keepNext w:val="0"/>
        <w:keepLines w:val="0"/>
        <w:pageBreakBefore w:val="0"/>
        <w:widowControl/>
        <w:numPr>
          <w:ilvl w:val="0"/>
          <w:numId w:val="1"/>
        </w:numPr>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经济</w:t>
      </w:r>
    </w:p>
    <w:p w14:paraId="2F28009B">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2020年，米易县实现地区生产总值155.68亿元以上、增长4.2%；规上工业增加值增长3.6%；完成全社会固定资产投资151.1亿元、增长9.9%；城乡居民人均可支配收入分别达39637元、20578元，分别增长5.5%、8.7%；一般公共预算收入11.25亿元、增长6.1%。</w:t>
      </w:r>
    </w:p>
    <w:p w14:paraId="545DB8E3">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2021年，米易县实现地区生产总值169.28亿元，按可比价格计算，比上年增长8.7%。三次产业结构比为21.8:42.2:36.0。人均地区生产总值74575元，增长8.7%。</w:t>
      </w:r>
    </w:p>
    <w:p w14:paraId="37312A04">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2022年，米易县实现地区生产总值183.73亿元，按可比价格计算，比上年增长3.8%。三次产业结构比为21.9:43.4:34.7。人均地区生产总值80585元，增长3.3%。</w:t>
      </w:r>
    </w:p>
    <w:p w14:paraId="2BA7AB4B">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2023年，米易县实现地区生产总值196.85亿元，按可比价格计算，比上年增长6.8%。其中：第一产业增加值为41.68亿元，增长4.2%；第二产业增加值为84.16亿元，增长7.0%，其中工业增加值81.18亿元，增长7.1%，建筑业增加值2.98亿元，增长5.5%；第三产业增加值71.01亿元，增长8.1%。三次产业对经济增长的贡献率分别为13.8%、43.6%、42.6%，分别拉动经济增长0.9、3.0、2.9个百分点。三次产业结构比为21.2:42.8:36。人均地区生产总值86337元，增长6.5%。</w:t>
      </w:r>
    </w:p>
    <w:p w14:paraId="2A0359A5">
      <w:pPr>
        <w:keepNext w:val="0"/>
        <w:keepLines w:val="0"/>
        <w:pageBreakBefore w:val="0"/>
        <w:widowControl/>
        <w:suppressLineNumbers w:val="0"/>
        <w:kinsoku/>
        <w:wordWrap/>
        <w:overflowPunct/>
        <w:topLinePunct w:val="0"/>
        <w:autoSpaceDE/>
        <w:autoSpaceDN/>
        <w:bidi w:val="0"/>
        <w:adjustRightInd/>
        <w:snapToGrid/>
        <w:spacing w:afterAutospacing="0" w:line="240" w:lineRule="auto"/>
        <w:jc w:val="center"/>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drawing>
          <wp:inline distT="0" distB="0" distL="114300" distR="114300">
            <wp:extent cx="4210685" cy="3690620"/>
            <wp:effectExtent l="9525" t="9525" r="27940" b="14605"/>
            <wp:docPr id="41" name="图片 6" descr="IMG_256">
              <a:hlinkClick xmlns:a="http://schemas.openxmlformats.org/drawingml/2006/main" r:id="rId9" tooltip="米易县地区生产总值（2019年~2023年）变化"/>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6" descr="IMG_256"/>
                    <pic:cNvPicPr>
                      <a:picLocks noChangeAspect="1"/>
                    </pic:cNvPicPr>
                  </pic:nvPicPr>
                  <pic:blipFill>
                    <a:blip r:embed="rId10"/>
                    <a:stretch>
                      <a:fillRect/>
                    </a:stretch>
                  </pic:blipFill>
                  <pic:spPr>
                    <a:xfrm>
                      <a:off x="0" y="0"/>
                      <a:ext cx="4210685" cy="3690620"/>
                    </a:xfrm>
                    <a:prstGeom prst="rect">
                      <a:avLst/>
                    </a:prstGeom>
                    <a:noFill/>
                    <a:ln w="9525">
                      <a:solidFill>
                        <a:schemeClr val="tx1"/>
                      </a:solidFill>
                    </a:ln>
                  </pic:spPr>
                </pic:pic>
              </a:graphicData>
            </a:graphic>
          </wp:inline>
        </w:drawing>
      </w:r>
    </w:p>
    <w:p w14:paraId="19151D23">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3" w:firstLineChars="200"/>
        <w:jc w:val="both"/>
        <w:textAlignment w:val="auto"/>
        <w:rPr>
          <w:rFonts w:hint="default" w:ascii="Times New Roman" w:hAnsi="Times New Roman" w:eastAsia="方正仿宋_GBK" w:cs="Times New Roman"/>
          <w:b/>
          <w:bCs/>
          <w:caps/>
          <w:kern w:val="2"/>
          <w:sz w:val="32"/>
          <w:szCs w:val="32"/>
          <w:lang w:val="en-US" w:eastAsia="zh-CN" w:bidi="ar-SA"/>
        </w:rPr>
      </w:pPr>
      <w:r>
        <w:rPr>
          <w:rFonts w:hint="default" w:ascii="Times New Roman" w:hAnsi="Times New Roman" w:eastAsia="方正仿宋_GBK" w:cs="Times New Roman"/>
          <w:b/>
          <w:bCs/>
          <w:caps/>
          <w:kern w:val="2"/>
          <w:sz w:val="32"/>
          <w:szCs w:val="32"/>
          <w:lang w:val="en-US" w:eastAsia="zh-CN" w:bidi="ar-SA"/>
        </w:rPr>
        <w:t>3</w:t>
      </w:r>
      <w:r>
        <w:rPr>
          <w:rFonts w:hint="eastAsia" w:ascii="Times New Roman" w:hAnsi="Times New Roman" w:eastAsia="方正仿宋_GBK" w:cs="Times New Roman"/>
          <w:b/>
          <w:bCs/>
          <w:caps/>
          <w:kern w:val="2"/>
          <w:sz w:val="32"/>
          <w:szCs w:val="32"/>
          <w:lang w:val="en-US" w:eastAsia="zh-CN" w:bidi="ar-SA"/>
        </w:rPr>
        <w:t>.</w:t>
      </w:r>
      <w:r>
        <w:rPr>
          <w:rFonts w:hint="default" w:ascii="Times New Roman" w:hAnsi="Times New Roman" w:eastAsia="方正仿宋_GBK" w:cs="Times New Roman"/>
          <w:b/>
          <w:bCs/>
          <w:caps/>
          <w:kern w:val="2"/>
          <w:sz w:val="32"/>
          <w:szCs w:val="32"/>
          <w:lang w:val="en-US" w:eastAsia="zh-CN" w:bidi="ar-SA"/>
        </w:rPr>
        <w:t>行业规划</w:t>
      </w:r>
    </w:p>
    <w:p w14:paraId="106E1A44">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四川省国民经济和社会发展第十四个五年规划和二〇三五年远景目标纲要》纲要提出：充分发挥五大片区的比较优势，突出功能定位，推动差异化协同发展，强化片区间功能协作和产业配套，推动成都平原经济区与其他片区协同联动。提升区域中心城市发展能级，推动主导产业特色化集群化发展，加大城市空间、公共服务等资源供给，在环成都经济圈、川南和川东北经济区分别培育形成经济总量占比高、综合承载能力强、创新发展动能强、区域带动作用强的全省经济副中心。推动攀西经济区转型升级，加快安宁河谷综合开发，建设国家战略资源创新开发试验区、现代农业示范基地和国际阳光康养旅游目的地。推动川西北生态示范区绿色发展，建成国家生态文明建设示范区、现代高原特色农牧业基地和国家全域旅游示范区。</w:t>
      </w:r>
    </w:p>
    <w:p w14:paraId="1C15713C">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打造大九寨、大峨眉、大熊猫、大遗址等“十大”文旅精品，构建巴蜀文化旅游、藏羌彝文化、茶马古道、长征红色旅游“四大”走廊。建设天府旅游名县名镇名村，培育名店名品名导等。创建全域旅游示范区、文旅融合发展示范区。完善文化和旅游融合发展体制机制，创新“文旅+”融合发展模式，打造文旅综合体，发展度假旅游、康养旅游、音乐旅游、体育旅游、研学旅游等新业态，推动传统技艺、传统饮食、表演艺术等项目集聚转化。举办旅博会、旅投会、文创会等重大活动，扩大“天府三大·安逸走四川”品牌形象和文化影响力。</w:t>
      </w:r>
    </w:p>
    <w:p w14:paraId="6D7B7560">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符合《四川省国民经济和社会发展第十四个五年规划和二〇三五年远景目标纲要》。</w:t>
      </w:r>
    </w:p>
    <w:p w14:paraId="5BE0FAB8">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攀枝花市国民经济和社会发展第十四个五年规划和二〇三五年远景目标纲要》纲要提出：米易县大力发展矿业和新能源储能材料产业，全力抓好安宁河谷综合开发，推动农文旅深度融合发展，高质量开发米易县南部片区，持续巩固全国文明城市创建成果，创建国家全域旅游示范区，把米易县建设成为攀枝花城市副中心、“三区联动”的桥头堡、山水宜居公园城市的先行区，成为全市经济高质量发展的主要支撑。</w:t>
      </w:r>
    </w:p>
    <w:p w14:paraId="62D10DE4">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以创建国家全域旅游示范市为目标，聚焦产业链高端和价值链核心，推动康养与运动、文旅、医疗、农业、工业深度融合，加快形成</w:t>
      </w:r>
      <w:r>
        <w:rPr>
          <w:rFonts w:hint="eastAsia"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t>一核一带三谷</w:t>
      </w:r>
      <w:r>
        <w:rPr>
          <w:rFonts w:hint="eastAsia"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t>，打造以中心城区为核心的医疗服务基地、以盐边为支撑的运动健身休闲养生带、以西区为重点的康养</w:t>
      </w:r>
      <w:r>
        <w:rPr>
          <w:rFonts w:hint="eastAsia"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t>苏铁谷</w:t>
      </w:r>
      <w:r>
        <w:rPr>
          <w:rFonts w:hint="eastAsia"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t>、以仁和为重点的康养</w:t>
      </w:r>
      <w:r>
        <w:rPr>
          <w:rFonts w:hint="eastAsia"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t>仁和谷</w:t>
      </w:r>
      <w:r>
        <w:rPr>
          <w:rFonts w:hint="eastAsia"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t>和以米易为重点的康养</w:t>
      </w:r>
      <w:r>
        <w:rPr>
          <w:rFonts w:hint="eastAsia"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t>迷昜谷</w:t>
      </w:r>
      <w:r>
        <w:rPr>
          <w:rFonts w:hint="eastAsia"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t>。大力实施康养</w:t>
      </w:r>
      <w:r>
        <w:rPr>
          <w:rFonts w:hint="eastAsia"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t>5115</w:t>
      </w:r>
      <w:r>
        <w:rPr>
          <w:rFonts w:hint="eastAsia" w:ascii="Times New Roman" w:hAnsi="Times New Roman" w:eastAsia="方正仿宋_GBK" w:cs="Times New Roman"/>
          <w:b w:val="0"/>
          <w:bCs w:val="0"/>
          <w:caps/>
          <w:kern w:val="2"/>
          <w:sz w:val="32"/>
          <w:szCs w:val="32"/>
          <w:lang w:val="en-US" w:eastAsia="zh-CN" w:bidi="ar-SA"/>
        </w:rPr>
        <w:t>”</w:t>
      </w:r>
      <w:r>
        <w:rPr>
          <w:rFonts w:hint="default" w:ascii="Times New Roman" w:hAnsi="Times New Roman" w:eastAsia="方正仿宋_GBK" w:cs="Times New Roman"/>
          <w:b w:val="0"/>
          <w:bCs w:val="0"/>
          <w:caps/>
          <w:kern w:val="2"/>
          <w:sz w:val="32"/>
          <w:szCs w:val="32"/>
          <w:lang w:val="en-US" w:eastAsia="zh-CN" w:bidi="ar-SA"/>
        </w:rPr>
        <w:t>工程，加快阳光欢乐谷国际旅游度假区、金杯半山·太阳谷康养度假区、红格国际运动康养·温泉度假区、金沙画廊康养旅游度假区和普达阳光国际康养度假区建设。扩大阳光生态经济区域合作，联合成都、昆明、西昌、大理、丽江等城市，共同宣传推广香格里拉环线旅居康养产业。支持成渝地区企业参与攀枝花康养产业发展，加快建立攀枝花康养投资集团，有效推进康养项目投融资、康养模式探索运营等。持续办好中国康养产业发展论坛。</w:t>
      </w:r>
    </w:p>
    <w:p w14:paraId="4179D91F">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left"/>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本项目的实施有助于完善米易县的公益性旅游服务设施，对促进米易县建立健全基本旅游服务制度和旅游管理服务信息平台，促进基本旅游服务普惠均等具有重要作用。符合《攀枝花市国民经济和社会发展第十四个五年规划和二〇三五年远景目标纲要》。</w:t>
      </w:r>
    </w:p>
    <w:p w14:paraId="391B5A8D">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default" w:ascii="方正楷体_GBK" w:hAnsi="方正楷体_GBK" w:eastAsia="方正楷体_GBK" w:cs="方正楷体_GBK"/>
          <w:b/>
          <w:bCs/>
          <w:sz w:val="32"/>
          <w:szCs w:val="32"/>
          <w:lang w:val="en-US" w:eastAsia="zh-CN"/>
        </w:rPr>
      </w:pPr>
      <w:r>
        <w:rPr>
          <w:rFonts w:hint="default" w:ascii="方正楷体_GBK" w:hAnsi="方正楷体_GBK" w:eastAsia="方正楷体_GBK" w:cs="方正楷体_GBK"/>
          <w:b/>
          <w:bCs/>
          <w:sz w:val="32"/>
          <w:szCs w:val="32"/>
          <w:lang w:val="en-US" w:eastAsia="zh-CN"/>
        </w:rPr>
        <w:t>（二）项目情况</w:t>
      </w:r>
      <w:bookmarkEnd w:id="13"/>
      <w:bookmarkEnd w:id="14"/>
      <w:bookmarkEnd w:id="15"/>
      <w:bookmarkEnd w:id="16"/>
      <w:bookmarkEnd w:id="17"/>
      <w:bookmarkEnd w:id="18"/>
      <w:bookmarkEnd w:id="19"/>
      <w:bookmarkEnd w:id="20"/>
    </w:p>
    <w:p w14:paraId="7D574611">
      <w:pPr>
        <w:pStyle w:val="7"/>
        <w:keepNext w:val="0"/>
        <w:keepLines w:val="0"/>
        <w:pageBreakBefore w:val="0"/>
        <w:kinsoku/>
        <w:wordWrap/>
        <w:overflowPunct/>
        <w:topLinePunct w:val="0"/>
        <w:autoSpaceDE/>
        <w:autoSpaceDN/>
        <w:bidi w:val="0"/>
        <w:spacing w:before="0" w:after="0" w:line="240" w:lineRule="auto"/>
        <w:outlineLvl w:val="9"/>
        <w:rPr>
          <w:rFonts w:hint="default" w:ascii="Times New Roman" w:hAnsi="Times New Roman" w:eastAsia="方正仿宋_GBK" w:cs="Times New Roman"/>
          <w:b/>
          <w:bCs/>
          <w:sz w:val="32"/>
          <w:szCs w:val="32"/>
          <w:lang w:val="en-US" w:eastAsia="zh-CN"/>
        </w:rPr>
      </w:pPr>
      <w:bookmarkStart w:id="43" w:name="_Toc23988"/>
      <w:bookmarkStart w:id="44" w:name="_Toc6078"/>
      <w:bookmarkStart w:id="45" w:name="_Toc11692"/>
      <w:bookmarkStart w:id="46" w:name="_Toc21872"/>
      <w:bookmarkStart w:id="47" w:name="_Toc14119"/>
      <w:bookmarkStart w:id="48" w:name="_Toc9265"/>
      <w:bookmarkStart w:id="49" w:name="_Toc7914"/>
      <w:bookmarkStart w:id="50" w:name="_Toc1064"/>
      <w:r>
        <w:rPr>
          <w:rFonts w:hint="default" w:ascii="Times New Roman" w:hAnsi="Times New Roman" w:eastAsia="方正仿宋_GBK" w:cs="Times New Roman"/>
          <w:b/>
          <w:bCs/>
          <w:sz w:val="32"/>
          <w:szCs w:val="32"/>
          <w:lang w:val="en-US" w:eastAsia="zh-CN"/>
        </w:rPr>
        <w:t>1.参与主体</w:t>
      </w:r>
      <w:bookmarkEnd w:id="43"/>
      <w:bookmarkEnd w:id="44"/>
      <w:bookmarkEnd w:id="45"/>
      <w:bookmarkEnd w:id="46"/>
      <w:bookmarkEnd w:id="47"/>
      <w:bookmarkEnd w:id="48"/>
      <w:bookmarkEnd w:id="49"/>
      <w:bookmarkEnd w:id="50"/>
    </w:p>
    <w:p w14:paraId="412043BF">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主管部门：米易县文化广播电视和旅游局</w:t>
      </w:r>
    </w:p>
    <w:p w14:paraId="54642F47">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业主单位：米易县文化广播电视和旅游局</w:t>
      </w:r>
    </w:p>
    <w:p w14:paraId="419E73C7">
      <w:pPr>
        <w:pStyle w:val="7"/>
        <w:keepNext w:val="0"/>
        <w:keepLines w:val="0"/>
        <w:pageBreakBefore w:val="0"/>
        <w:kinsoku/>
        <w:wordWrap/>
        <w:overflowPunct/>
        <w:topLinePunct w:val="0"/>
        <w:autoSpaceDE/>
        <w:autoSpaceDN/>
        <w:bidi w:val="0"/>
        <w:spacing w:before="0" w:after="0" w:line="240" w:lineRule="auto"/>
        <w:outlineLvl w:val="9"/>
        <w:rPr>
          <w:rFonts w:hint="default" w:ascii="Times New Roman" w:hAnsi="Times New Roman" w:eastAsia="方正仿宋_GBK" w:cs="Times New Roman"/>
          <w:b/>
          <w:bCs/>
          <w:sz w:val="32"/>
          <w:szCs w:val="32"/>
          <w:lang w:val="en-US" w:eastAsia="zh-CN"/>
        </w:rPr>
      </w:pPr>
      <w:bookmarkStart w:id="51" w:name="_Toc14972"/>
      <w:bookmarkStart w:id="52" w:name="_Toc30046"/>
      <w:bookmarkStart w:id="53" w:name="_Toc16934"/>
      <w:bookmarkStart w:id="54" w:name="_Toc9122"/>
      <w:bookmarkStart w:id="55" w:name="_Toc5326"/>
      <w:bookmarkStart w:id="56" w:name="_Toc4294"/>
      <w:bookmarkStart w:id="57" w:name="_Toc22356"/>
      <w:bookmarkStart w:id="58" w:name="_Toc6630"/>
      <w:bookmarkStart w:id="59" w:name="_Toc10923"/>
      <w:r>
        <w:rPr>
          <w:rFonts w:hint="default" w:ascii="Times New Roman" w:hAnsi="Times New Roman" w:eastAsia="方正仿宋_GBK" w:cs="Times New Roman"/>
          <w:b/>
          <w:bCs/>
          <w:sz w:val="32"/>
          <w:szCs w:val="32"/>
          <w:lang w:val="en-US" w:eastAsia="zh-CN"/>
        </w:rPr>
        <w:t>2.项目概况</w:t>
      </w:r>
      <w:bookmarkEnd w:id="51"/>
      <w:bookmarkEnd w:id="52"/>
      <w:bookmarkEnd w:id="53"/>
      <w:bookmarkEnd w:id="54"/>
      <w:bookmarkEnd w:id="55"/>
      <w:bookmarkEnd w:id="56"/>
      <w:bookmarkEnd w:id="57"/>
      <w:bookmarkEnd w:id="58"/>
      <w:bookmarkEnd w:id="59"/>
    </w:p>
    <w:bookmarkEnd w:id="21"/>
    <w:p w14:paraId="0D2EAD84">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bookmarkStart w:id="60" w:name="_Toc1403"/>
      <w:bookmarkStart w:id="61" w:name="_Toc523481534"/>
      <w:bookmarkStart w:id="62" w:name="_Toc533440322"/>
      <w:bookmarkStart w:id="63" w:name="_Toc1720132"/>
      <w:bookmarkStart w:id="64" w:name="_Toc522211065"/>
      <w:r>
        <w:rPr>
          <w:rFonts w:hint="default" w:ascii="Times New Roman" w:hAnsi="Times New Roman" w:eastAsia="方正仿宋_GBK" w:cs="Times New Roman"/>
          <w:b w:val="0"/>
          <w:bCs w:val="0"/>
          <w:caps/>
          <w:kern w:val="2"/>
          <w:sz w:val="32"/>
          <w:szCs w:val="32"/>
          <w:lang w:val="en-US" w:eastAsia="zh-CN" w:bidi="ar-SA"/>
        </w:rPr>
        <w:t>（1）项目名称：米易阳光城省级旅游度假区基础设施改造项目</w:t>
      </w:r>
    </w:p>
    <w:p w14:paraId="004E615D">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（2）项目建设性质：改扩建</w:t>
      </w:r>
    </w:p>
    <w:p w14:paraId="7804B2C0">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（3）项目总投资：5000.00万元</w:t>
      </w:r>
    </w:p>
    <w:p w14:paraId="24CC6A4C">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（4）项目建设期：12个月</w:t>
      </w:r>
    </w:p>
    <w:p w14:paraId="2DDD0819">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（5）项目投向领域：社会事业－文化旅游</w:t>
      </w:r>
    </w:p>
    <w:p w14:paraId="705F5889">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（6）工期计划：2025年6月—2026年6月，共12个月</w:t>
      </w:r>
    </w:p>
    <w:p w14:paraId="07D2B562">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（7）项目建设地点：米易县攀莲镇</w:t>
      </w:r>
    </w:p>
    <w:p w14:paraId="1CBE2F09">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（8）项目建设内容与规模：</w:t>
      </w:r>
    </w:p>
    <w:p w14:paraId="6D4AE825">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改造度假区内游客集散中心建筑面积5000平方米、旅游厕所37处建筑面积共计2895.58平方米、停车场7处面积约55000平方米（拟安装充电桩140台）；更新标识标牌219处、数字化建设标识标牌4处，智慧化建设等。</w:t>
      </w:r>
    </w:p>
    <w:p w14:paraId="618D880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3" w:firstLineChars="200"/>
        <w:jc w:val="both"/>
        <w:textAlignment w:val="auto"/>
        <w:outlineLvl w:val="0"/>
        <w:rPr>
          <w:rFonts w:hint="default" w:ascii="方正黑体_GBK" w:hAnsi="方正黑体_GBK" w:eastAsia="方正黑体_GBK" w:cs="方正黑体_GBK"/>
          <w:b/>
          <w:bCs/>
          <w:sz w:val="32"/>
          <w:szCs w:val="32"/>
          <w:lang w:val="en-US" w:eastAsia="zh-CN"/>
        </w:rPr>
      </w:pPr>
      <w:r>
        <w:rPr>
          <w:rFonts w:hint="default" w:ascii="方正黑体_GBK" w:hAnsi="方正黑体_GBK" w:eastAsia="方正黑体_GBK" w:cs="方正黑体_GBK"/>
          <w:b/>
          <w:bCs/>
          <w:sz w:val="32"/>
          <w:szCs w:val="32"/>
          <w:lang w:val="en-US" w:eastAsia="zh-CN"/>
        </w:rPr>
        <w:t>二、经济社会效益分析</w:t>
      </w:r>
      <w:bookmarkEnd w:id="60"/>
      <w:bookmarkEnd w:id="61"/>
      <w:bookmarkEnd w:id="62"/>
      <w:bookmarkEnd w:id="63"/>
      <w:bookmarkEnd w:id="64"/>
    </w:p>
    <w:p w14:paraId="2CCAE4C8">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default" w:ascii="方正楷体_GBK" w:hAnsi="方正楷体_GBK" w:eastAsia="方正楷体_GBK" w:cs="方正楷体_GBK"/>
          <w:b/>
          <w:bCs/>
          <w:sz w:val="32"/>
          <w:szCs w:val="32"/>
          <w:lang w:val="en-US"/>
        </w:rPr>
      </w:pPr>
      <w:bookmarkStart w:id="65" w:name="_Toc17794"/>
      <w:bookmarkStart w:id="66" w:name="_Toc523481535"/>
      <w:bookmarkStart w:id="67" w:name="_Toc522211066"/>
      <w:bookmarkStart w:id="68" w:name="_Toc1720133"/>
      <w:bookmarkStart w:id="69" w:name="_Toc533440323"/>
      <w:r>
        <w:rPr>
          <w:rFonts w:hint="default" w:ascii="方正楷体_GBK" w:hAnsi="方正楷体_GBK" w:eastAsia="方正楷体_GBK" w:cs="方正楷体_GBK"/>
          <w:b/>
          <w:bCs/>
          <w:sz w:val="32"/>
          <w:szCs w:val="32"/>
          <w:lang w:val="en-US"/>
        </w:rPr>
        <w:t>（一）经济效益分析</w:t>
      </w:r>
      <w:bookmarkEnd w:id="65"/>
      <w:bookmarkEnd w:id="66"/>
      <w:bookmarkEnd w:id="67"/>
      <w:bookmarkEnd w:id="68"/>
      <w:bookmarkEnd w:id="69"/>
    </w:p>
    <w:p w14:paraId="6A98047A">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bookmarkStart w:id="70" w:name="_Toc23271"/>
      <w:bookmarkStart w:id="71" w:name="_Toc1720136"/>
      <w:bookmarkStart w:id="72" w:name="_Toc533440326"/>
      <w:bookmarkStart w:id="73" w:name="_Toc523157055"/>
      <w:bookmarkStart w:id="74" w:name="_Toc523481538"/>
      <w:r>
        <w:rPr>
          <w:rFonts w:hint="default" w:ascii="Times New Roman" w:hAnsi="Times New Roman" w:eastAsia="方正仿宋_GBK" w:cs="Times New Roman"/>
          <w:b w:val="0"/>
          <w:bCs w:val="0"/>
          <w:caps/>
          <w:kern w:val="2"/>
          <w:sz w:val="32"/>
          <w:szCs w:val="32"/>
          <w:lang w:val="en-US" w:eastAsia="zh-CN" w:bidi="ar-SA"/>
        </w:rPr>
        <w:t>米易阳光城省级旅游度假区基础设施改造项目的经济效益主要体现在以下几个方面：</w:t>
      </w:r>
    </w:p>
    <w:p w14:paraId="4BCB36FA">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3"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eastAsia" w:ascii="Times New Roman" w:hAnsi="Times New Roman" w:eastAsia="方正仿宋_GBK" w:cs="Times New Roman"/>
          <w:b/>
          <w:bCs/>
          <w:caps/>
          <w:kern w:val="2"/>
          <w:sz w:val="32"/>
          <w:szCs w:val="32"/>
          <w:lang w:val="en-US" w:eastAsia="zh-CN" w:bidi="ar-SA"/>
        </w:rPr>
        <w:t>1.</w:t>
      </w:r>
      <w:r>
        <w:rPr>
          <w:rFonts w:hint="default" w:ascii="Times New Roman" w:hAnsi="Times New Roman" w:eastAsia="方正仿宋_GBK" w:cs="Times New Roman"/>
          <w:b/>
          <w:bCs/>
          <w:caps/>
          <w:kern w:val="2"/>
          <w:sz w:val="32"/>
          <w:szCs w:val="32"/>
          <w:lang w:val="en-US" w:eastAsia="zh-CN" w:bidi="ar-SA"/>
        </w:rPr>
        <w:t>项目将直接带动当地旅游业的发展。</w:t>
      </w:r>
      <w:r>
        <w:rPr>
          <w:rFonts w:hint="default" w:ascii="Times New Roman" w:hAnsi="Times New Roman" w:eastAsia="方正仿宋_GBK" w:cs="Times New Roman"/>
          <w:b w:val="0"/>
          <w:bCs w:val="0"/>
          <w:caps/>
          <w:kern w:val="2"/>
          <w:sz w:val="32"/>
          <w:szCs w:val="32"/>
          <w:lang w:val="en-US" w:eastAsia="zh-CN" w:bidi="ar-SA"/>
        </w:rPr>
        <w:t>通过提升基础设施，如道路、公共交通、景观绿化等，将显著提高度假区的吸引力和接待能力，从而吸引更多的游客前来观光旅游，增加旅游收入。</w:t>
      </w:r>
    </w:p>
    <w:p w14:paraId="044A38CE">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3"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eastAsia" w:ascii="Times New Roman" w:hAnsi="Times New Roman" w:eastAsia="方正仿宋_GBK" w:cs="Times New Roman"/>
          <w:b/>
          <w:bCs/>
          <w:caps/>
          <w:kern w:val="2"/>
          <w:sz w:val="32"/>
          <w:szCs w:val="32"/>
          <w:lang w:val="en-US" w:eastAsia="zh-CN" w:bidi="ar-SA"/>
        </w:rPr>
        <w:t>2.</w:t>
      </w:r>
      <w:r>
        <w:rPr>
          <w:rFonts w:hint="default" w:ascii="Times New Roman" w:hAnsi="Times New Roman" w:eastAsia="方正仿宋_GBK" w:cs="Times New Roman"/>
          <w:b/>
          <w:bCs/>
          <w:caps/>
          <w:kern w:val="2"/>
          <w:sz w:val="32"/>
          <w:szCs w:val="32"/>
          <w:lang w:val="en-US" w:eastAsia="zh-CN" w:bidi="ar-SA"/>
        </w:rPr>
        <w:t>项目将促进相关产业的发展。</w:t>
      </w:r>
      <w:r>
        <w:rPr>
          <w:rFonts w:hint="default" w:ascii="Times New Roman" w:hAnsi="Times New Roman" w:eastAsia="方正仿宋_GBK" w:cs="Times New Roman"/>
          <w:b w:val="0"/>
          <w:bCs w:val="0"/>
          <w:caps/>
          <w:kern w:val="2"/>
          <w:sz w:val="32"/>
          <w:szCs w:val="32"/>
          <w:lang w:val="en-US" w:eastAsia="zh-CN" w:bidi="ar-SA"/>
        </w:rPr>
        <w:t>旅游业的发展将带动餐饮、住宿、购物等相关产业的发展，为当地居民提供更多的就业机会和收入来源。同时，这也将促进当地商品和服务的销售，进一步推动经济增长。</w:t>
      </w:r>
    </w:p>
    <w:p w14:paraId="44A3A353">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3"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eastAsia" w:ascii="Times New Roman" w:hAnsi="Times New Roman" w:eastAsia="方正仿宋_GBK" w:cs="Times New Roman"/>
          <w:b/>
          <w:bCs/>
          <w:caps/>
          <w:kern w:val="2"/>
          <w:sz w:val="32"/>
          <w:szCs w:val="32"/>
          <w:lang w:val="en-US" w:eastAsia="zh-CN" w:bidi="ar-SA"/>
        </w:rPr>
        <w:t>3.</w:t>
      </w:r>
      <w:r>
        <w:rPr>
          <w:rFonts w:hint="default" w:ascii="Times New Roman" w:hAnsi="Times New Roman" w:eastAsia="方正仿宋_GBK" w:cs="Times New Roman"/>
          <w:b/>
          <w:bCs/>
          <w:caps/>
          <w:kern w:val="2"/>
          <w:sz w:val="32"/>
          <w:szCs w:val="32"/>
          <w:lang w:val="en-US" w:eastAsia="zh-CN" w:bidi="ar-SA"/>
        </w:rPr>
        <w:t>项目还将提升城市形象和知名度。</w:t>
      </w:r>
      <w:r>
        <w:rPr>
          <w:rFonts w:hint="default" w:ascii="Times New Roman" w:hAnsi="Times New Roman" w:eastAsia="方正仿宋_GBK" w:cs="Times New Roman"/>
          <w:b w:val="0"/>
          <w:bCs w:val="0"/>
          <w:caps/>
          <w:kern w:val="2"/>
          <w:sz w:val="32"/>
          <w:szCs w:val="32"/>
          <w:lang w:val="en-US" w:eastAsia="zh-CN" w:bidi="ar-SA"/>
        </w:rPr>
        <w:t>一个环境优美、设施完善的旅游度假区将大幅提升米易县的城市形象和知名度，吸引更多的投资和人才，为城市的长期发展奠定坚实基础。</w:t>
      </w:r>
    </w:p>
    <w:p w14:paraId="748FEE31">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项目预测期间不含税营业收入共计17398.65万元，盈利能力良好。项目预测期间内预计缴纳所得税6951.12万元，有利于增加米易县地方财政收入。项目工程实施也可以带动建筑、建材等相关产业的发展，具有良好的经济效益。</w:t>
      </w:r>
    </w:p>
    <w:p w14:paraId="01BF1FD3">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综上所述，米易阳光城省级旅游度假区基础设施改造项目将带来显著的经济效益，为米易县的经济发展注入新的活力。</w:t>
      </w:r>
    </w:p>
    <w:p w14:paraId="6B49F7E7">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default" w:ascii="方正楷体_GBK" w:hAnsi="方正楷体_GBK" w:eastAsia="方正楷体_GBK" w:cs="方正楷体_GBK"/>
          <w:b/>
          <w:bCs/>
          <w:sz w:val="32"/>
          <w:szCs w:val="32"/>
          <w:lang w:val="en-US"/>
        </w:rPr>
      </w:pPr>
      <w:r>
        <w:rPr>
          <w:rFonts w:hint="default" w:ascii="方正楷体_GBK" w:hAnsi="方正楷体_GBK" w:eastAsia="方正楷体_GBK" w:cs="方正楷体_GBK"/>
          <w:b/>
          <w:bCs/>
          <w:sz w:val="32"/>
          <w:szCs w:val="32"/>
          <w:lang w:val="en-US" w:eastAsia="zh-CN"/>
        </w:rPr>
        <w:t>（二）</w:t>
      </w:r>
      <w:r>
        <w:rPr>
          <w:rFonts w:hint="default" w:ascii="方正楷体_GBK" w:hAnsi="方正楷体_GBK" w:eastAsia="方正楷体_GBK" w:cs="方正楷体_GBK"/>
          <w:b/>
          <w:bCs/>
          <w:sz w:val="32"/>
          <w:szCs w:val="32"/>
          <w:lang w:val="en-US"/>
        </w:rPr>
        <w:t>社会效益分析</w:t>
      </w:r>
      <w:bookmarkEnd w:id="70"/>
      <w:bookmarkEnd w:id="71"/>
      <w:bookmarkEnd w:id="72"/>
      <w:bookmarkEnd w:id="73"/>
      <w:bookmarkEnd w:id="74"/>
    </w:p>
    <w:p w14:paraId="6A41BCF2">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bookmarkStart w:id="75" w:name="_Toc19320"/>
      <w:r>
        <w:rPr>
          <w:rFonts w:hint="default" w:ascii="Times New Roman" w:hAnsi="Times New Roman" w:eastAsia="方正仿宋_GBK" w:cs="Times New Roman"/>
          <w:b w:val="0"/>
          <w:bCs w:val="0"/>
          <w:caps/>
          <w:kern w:val="2"/>
          <w:sz w:val="32"/>
          <w:szCs w:val="32"/>
          <w:lang w:val="en-US" w:eastAsia="zh-CN" w:bidi="ar-SA"/>
        </w:rPr>
        <w:t>该项目不仅能带来显著的经济效益，还将产生深远的社会效益。首先，项目的实施将极大改善旅游度假区的整体环境，提升游客的旅游体验，从而吸引更多的游客前来观光旅游，促进当地旅游业的繁荣。其次，随着旅游业的蓬勃发展，将带动周边地区的交通、餐饮、住宿等相关产业的同步发展，为当地居民提供更多的就业机会，提高生活水平。此外，项目的成功实施还将增强米易县的吸引力和竞争力，吸引更多的投资和人才流入，为城市的全面发展注入新的动力。总之，米易阳光城省级旅游度假区基础设施改造项目将带来广泛而深远的社会效益，为米易县的可持续发展做出重要贡献。</w:t>
      </w:r>
    </w:p>
    <w:p w14:paraId="293737D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3" w:firstLineChars="200"/>
        <w:jc w:val="both"/>
        <w:textAlignment w:val="auto"/>
        <w:outlineLvl w:val="0"/>
        <w:rPr>
          <w:rFonts w:hint="default" w:ascii="方正黑体_GBK" w:hAnsi="方正黑体_GBK" w:eastAsia="方正黑体_GBK" w:cs="方正黑体_GBK"/>
          <w:b/>
          <w:bCs/>
          <w:sz w:val="32"/>
          <w:szCs w:val="32"/>
          <w:lang w:val="en-US" w:eastAsia="zh-CN"/>
        </w:rPr>
      </w:pPr>
      <w:r>
        <w:rPr>
          <w:rFonts w:hint="default" w:ascii="方正黑体_GBK" w:hAnsi="方正黑体_GBK" w:eastAsia="方正黑体_GBK" w:cs="方正黑体_GBK"/>
          <w:b/>
          <w:bCs/>
          <w:sz w:val="32"/>
          <w:szCs w:val="32"/>
          <w:lang w:val="en-US" w:eastAsia="zh-CN"/>
        </w:rPr>
        <w:t>三、项目投资估算与资金筹措方案</w:t>
      </w:r>
      <w:bookmarkEnd w:id="75"/>
    </w:p>
    <w:p w14:paraId="5D00E726">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default" w:ascii="方正楷体_GBK" w:hAnsi="方正楷体_GBK" w:eastAsia="方正楷体_GBK" w:cs="方正楷体_GBK"/>
          <w:b/>
          <w:bCs/>
          <w:sz w:val="32"/>
          <w:szCs w:val="32"/>
          <w:lang w:val="en-US"/>
        </w:rPr>
      </w:pPr>
      <w:bookmarkStart w:id="76" w:name="_Toc1720145"/>
      <w:bookmarkStart w:id="77" w:name="_Toc522211078"/>
      <w:bookmarkStart w:id="78" w:name="_Toc5108"/>
      <w:bookmarkStart w:id="79" w:name="_Toc523157062"/>
      <w:bookmarkStart w:id="80" w:name="_Toc533440335"/>
      <w:bookmarkStart w:id="81" w:name="_Toc523481542"/>
      <w:r>
        <w:rPr>
          <w:rFonts w:hint="default" w:ascii="方正楷体_GBK" w:hAnsi="方正楷体_GBK" w:eastAsia="方正楷体_GBK" w:cs="方正楷体_GBK"/>
          <w:b/>
          <w:bCs/>
          <w:sz w:val="32"/>
          <w:szCs w:val="32"/>
          <w:lang w:val="en-US"/>
        </w:rPr>
        <w:t>（一）投资估算</w:t>
      </w:r>
      <w:bookmarkEnd w:id="76"/>
      <w:bookmarkEnd w:id="77"/>
      <w:bookmarkEnd w:id="78"/>
      <w:bookmarkEnd w:id="79"/>
      <w:bookmarkEnd w:id="80"/>
      <w:bookmarkEnd w:id="81"/>
    </w:p>
    <w:p w14:paraId="2F3E63E6">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bookmarkStart w:id="82" w:name="_Toc23109"/>
      <w:r>
        <w:rPr>
          <w:rFonts w:hint="default" w:ascii="Times New Roman" w:hAnsi="Times New Roman" w:eastAsia="方正仿宋_GBK" w:cs="Times New Roman"/>
          <w:b w:val="0"/>
          <w:bCs w:val="0"/>
          <w:caps/>
          <w:kern w:val="2"/>
          <w:sz w:val="32"/>
          <w:szCs w:val="32"/>
          <w:lang w:val="en-US" w:eastAsia="zh-CN" w:bidi="ar-SA"/>
        </w:rPr>
        <w:t>本项目工程估算总投资为5000.00万元，其中：</w:t>
      </w:r>
    </w:p>
    <w:p w14:paraId="55E30954">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第一部分工程费用3829.41万元，占总投资的76.59%；</w:t>
      </w:r>
    </w:p>
    <w:p w14:paraId="62857132">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第二部分工程建设其他费用791.55万元，占总投资的15.83%；</w:t>
      </w:r>
    </w:p>
    <w:p w14:paraId="6CF730DE">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第三部分预备231.05万元，占总投资的4.62%；</w:t>
      </w:r>
    </w:p>
    <w:p w14:paraId="13D94188">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第四部分建设期利息144.00万元，占总投资的2.88%。</w:t>
      </w:r>
    </w:p>
    <w:p w14:paraId="07A36920">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28"/>
          <w:szCs w:val="28"/>
          <w:lang w:val="en-US" w:eastAsia="zh-CN" w:bidi="ar-SA"/>
        </w:rPr>
      </w:pPr>
      <w:r>
        <w:rPr>
          <w:rFonts w:hint="default" w:ascii="Times New Roman" w:hAnsi="Times New Roman" w:eastAsia="方正仿宋_GBK" w:cs="Times New Roman"/>
          <w:b w:val="0"/>
          <w:bCs w:val="0"/>
          <w:caps/>
          <w:kern w:val="2"/>
          <w:sz w:val="32"/>
          <w:szCs w:val="32"/>
          <w:lang w:val="en-US" w:eastAsia="zh-CN" w:bidi="ar-SA"/>
        </w:rPr>
        <w:t>第五部分债券发行费用4.00万元，占总投资的0.08%。</w:t>
      </w:r>
    </w:p>
    <w:p w14:paraId="5A35963A">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default" w:ascii="方正楷体_GBK" w:hAnsi="方正楷体_GBK" w:eastAsia="方正楷体_GBK" w:cs="方正楷体_GBK"/>
          <w:b/>
          <w:bCs/>
          <w:sz w:val="32"/>
          <w:szCs w:val="32"/>
          <w:lang w:val="en-US"/>
        </w:rPr>
      </w:pPr>
      <w:r>
        <w:rPr>
          <w:rFonts w:hint="default" w:ascii="方正楷体_GBK" w:hAnsi="方正楷体_GBK" w:eastAsia="方正楷体_GBK" w:cs="方正楷体_GBK"/>
          <w:b/>
          <w:bCs/>
          <w:sz w:val="32"/>
          <w:szCs w:val="32"/>
          <w:lang w:val="en-US"/>
        </w:rPr>
        <w:t>（二）资金筹措方案</w:t>
      </w:r>
      <w:bookmarkEnd w:id="82"/>
    </w:p>
    <w:p w14:paraId="10B33870">
      <w:pPr>
        <w:keepNext w:val="0"/>
        <w:keepLines w:val="0"/>
        <w:pageBreakBefore w:val="0"/>
        <w:numPr>
          <w:ilvl w:val="2"/>
          <w:numId w:val="0"/>
        </w:numPr>
        <w:kinsoku/>
        <w:wordWrap/>
        <w:overflowPunct/>
        <w:topLinePunct w:val="0"/>
        <w:autoSpaceDE/>
        <w:autoSpaceDN/>
        <w:bidi w:val="0"/>
        <w:spacing w:line="240" w:lineRule="auto"/>
        <w:ind w:firstLine="643" w:firstLineChars="200"/>
        <w:outlineLvl w:val="9"/>
        <w:rPr>
          <w:rFonts w:hint="default" w:ascii="Times New Roman" w:hAnsi="Times New Roman" w:eastAsia="方正仿宋_GBK" w:cs="Times New Roman"/>
          <w:b/>
          <w:bCs/>
          <w:sz w:val="32"/>
          <w:szCs w:val="32"/>
        </w:rPr>
      </w:pPr>
      <w:bookmarkStart w:id="83" w:name="_Toc1720150"/>
      <w:bookmarkStart w:id="84" w:name="_Toc19703"/>
      <w:bookmarkStart w:id="85" w:name="_Toc20821"/>
      <w:bookmarkStart w:id="86" w:name="_Toc522211083"/>
      <w:bookmarkStart w:id="87" w:name="_Toc533440340"/>
      <w:bookmarkStart w:id="88" w:name="_Toc523157067"/>
      <w:bookmarkStart w:id="89" w:name="_Toc523481547"/>
      <w:r>
        <w:rPr>
          <w:rFonts w:hint="default" w:ascii="Times New Roman" w:hAnsi="Times New Roman" w:eastAsia="方正仿宋_GBK" w:cs="Times New Roman"/>
          <w:b/>
          <w:bCs/>
          <w:sz w:val="32"/>
          <w:szCs w:val="32"/>
        </w:rPr>
        <w:t>1.资金来源</w:t>
      </w:r>
      <w:bookmarkEnd w:id="83"/>
      <w:bookmarkEnd w:id="84"/>
      <w:bookmarkEnd w:id="85"/>
      <w:bookmarkEnd w:id="86"/>
      <w:bookmarkEnd w:id="87"/>
      <w:bookmarkEnd w:id="88"/>
      <w:bookmarkEnd w:id="89"/>
    </w:p>
    <w:p w14:paraId="04987F35">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项目估算总投资为5000.00万元，资金来源为财政预算资金和专项债，其中财政预算资金1000.00万元，占总投资的20%，专项债资金4000.00万元，占总投资的80%。</w:t>
      </w:r>
    </w:p>
    <w:p w14:paraId="1BA4AB1F">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拟发行专项债券4000.00万元，其中：2025年发行4000.00万元，期限15年；债券利率按3.6%测算，发行费为面值的1‰。</w:t>
      </w:r>
    </w:p>
    <w:p w14:paraId="608C3C5A">
      <w:pPr>
        <w:keepNext w:val="0"/>
        <w:keepLines w:val="0"/>
        <w:pageBreakBefore w:val="0"/>
        <w:numPr>
          <w:ilvl w:val="0"/>
          <w:numId w:val="0"/>
        </w:numPr>
        <w:kinsoku/>
        <w:wordWrap/>
        <w:overflowPunct/>
        <w:topLinePunct w:val="0"/>
        <w:autoSpaceDE/>
        <w:autoSpaceDN/>
        <w:bidi w:val="0"/>
        <w:spacing w:line="240" w:lineRule="auto"/>
        <w:ind w:leftChars="0" w:firstLine="643" w:firstLineChars="200"/>
        <w:outlineLvl w:val="9"/>
        <w:rPr>
          <w:rFonts w:hint="default" w:ascii="Times New Roman" w:hAnsi="Times New Roman" w:eastAsia="方正仿宋_GBK" w:cs="Times New Roman"/>
          <w:b/>
          <w:bCs/>
          <w:sz w:val="32"/>
          <w:szCs w:val="32"/>
        </w:rPr>
      </w:pPr>
      <w:bookmarkStart w:id="90" w:name="_Toc523481549"/>
      <w:bookmarkStart w:id="91" w:name="_Toc1720152"/>
      <w:bookmarkStart w:id="92" w:name="_Toc523157069"/>
      <w:bookmarkStart w:id="93" w:name="_Toc533440342"/>
      <w:bookmarkStart w:id="94" w:name="_Toc25776"/>
      <w:r>
        <w:rPr>
          <w:rFonts w:hint="default" w:ascii="Times New Roman" w:hAnsi="Times New Roman" w:eastAsia="方正仿宋_GBK" w:cs="Times New Roman"/>
          <w:b/>
          <w:bCs/>
          <w:sz w:val="32"/>
          <w:szCs w:val="32"/>
          <w:lang w:val="en-US" w:eastAsia="zh-CN"/>
        </w:rPr>
        <w:t>2.</w:t>
      </w:r>
      <w:r>
        <w:rPr>
          <w:rFonts w:hint="default" w:ascii="Times New Roman" w:hAnsi="Times New Roman" w:eastAsia="方正仿宋_GBK" w:cs="Times New Roman"/>
          <w:b/>
          <w:bCs/>
          <w:sz w:val="32"/>
          <w:szCs w:val="32"/>
        </w:rPr>
        <w:t>资金使用计划</w:t>
      </w:r>
      <w:bookmarkEnd w:id="90"/>
      <w:bookmarkEnd w:id="91"/>
      <w:bookmarkEnd w:id="92"/>
      <w:bookmarkEnd w:id="93"/>
      <w:bookmarkEnd w:id="94"/>
    </w:p>
    <w:p w14:paraId="30E1A73B">
      <w:pPr>
        <w:keepNext w:val="0"/>
        <w:keepLines w:val="0"/>
        <w:pageBreakBefore w:val="0"/>
        <w:widowControl/>
        <w:suppressLineNumbers w:val="0"/>
        <w:kinsoku/>
        <w:wordWrap/>
        <w:overflowPunct/>
        <w:topLinePunct w:val="0"/>
        <w:autoSpaceDE/>
        <w:autoSpaceDN/>
        <w:bidi w:val="0"/>
        <w:adjustRightInd/>
        <w:snapToGrid/>
        <w:spacing w:afterAutospacing="0" w:line="240" w:lineRule="auto"/>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bookmarkStart w:id="95" w:name="_Toc9196"/>
      <w:r>
        <w:rPr>
          <w:rFonts w:hint="default" w:ascii="Times New Roman" w:hAnsi="Times New Roman" w:eastAsia="方正仿宋_GBK" w:cs="Times New Roman"/>
          <w:b w:val="0"/>
          <w:bCs w:val="0"/>
          <w:caps/>
          <w:kern w:val="2"/>
          <w:sz w:val="32"/>
          <w:szCs w:val="32"/>
          <w:lang w:val="en-US" w:eastAsia="zh-CN" w:bidi="ar-SA"/>
        </w:rPr>
        <w:t>项目所筹资金将根据项目实施计划和实施建设进度来进行合理分配，且将全部投资于项目，具体数额应当根据进度支出。在保证项目工程投资资金充足的情况下，充分利用且不浪费当年度专项债券融资额度，按照建设进度，总投资计划分12个月投入。具体的资金使用及筹措计划见下表资金使用及筹措计划表。</w:t>
      </w:r>
    </w:p>
    <w:p w14:paraId="4A399B05">
      <w:pPr>
        <w:keepNext w:val="0"/>
        <w:keepLines w:val="0"/>
        <w:pageBreakBefore w:val="0"/>
        <w:widowControl/>
        <w:suppressLineNumbers w:val="0"/>
        <w:kinsoku/>
        <w:wordWrap/>
        <w:overflowPunct/>
        <w:topLinePunct w:val="0"/>
        <w:autoSpaceDE/>
        <w:autoSpaceDN/>
        <w:bidi w:val="0"/>
        <w:adjustRightInd/>
        <w:snapToGrid/>
        <w:spacing w:afterAutospacing="0" w:line="240" w:lineRule="auto"/>
        <w:jc w:val="center"/>
        <w:textAlignment w:val="auto"/>
        <w:rPr>
          <w:rFonts w:hint="eastAsia" w:ascii="方正楷体_GBK" w:hAnsi="方正楷体_GBK" w:eastAsia="方正楷体_GBK" w:cs="方正楷体_GBK"/>
          <w:b w:val="0"/>
          <w:bCs w:val="0"/>
          <w:sz w:val="28"/>
          <w:szCs w:val="28"/>
          <w:highlight w:val="none"/>
          <w:lang w:val="en-US" w:eastAsia="zh-CN"/>
        </w:rPr>
      </w:pPr>
      <w:r>
        <w:rPr>
          <w:rFonts w:hint="eastAsia" w:ascii="方正楷体_GBK" w:hAnsi="方正楷体_GBK" w:eastAsia="方正楷体_GBK" w:cs="方正楷体_GBK"/>
          <w:b w:val="0"/>
          <w:bCs w:val="0"/>
          <w:kern w:val="2"/>
          <w:sz w:val="28"/>
          <w:szCs w:val="28"/>
          <w:highlight w:val="none"/>
          <w:lang w:val="en-US" w:eastAsia="zh-CN" w:bidi="ar-SA"/>
        </w:rPr>
        <w:t>资金使用及筹措计划表（单位：万元）</w:t>
      </w:r>
    </w:p>
    <w:tbl>
      <w:tblPr>
        <w:tblStyle w:val="17"/>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781"/>
        <w:gridCol w:w="2796"/>
        <w:gridCol w:w="2480"/>
      </w:tblGrid>
      <w:tr w14:paraId="280F7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64" w:hRule="atLeast"/>
          <w:jc w:val="center"/>
        </w:trPr>
        <w:tc>
          <w:tcPr>
            <w:tcW w:w="2087" w:type="pct"/>
            <w:vMerge w:val="restart"/>
            <w:tcBorders>
              <w:top w:val="single" w:color="000000" w:sz="4" w:space="0"/>
              <w:left w:val="single" w:color="000000" w:sz="4" w:space="0"/>
              <w:bottom w:val="single" w:color="000000" w:sz="4" w:space="0"/>
              <w:right w:val="single" w:color="000000" w:sz="4" w:space="0"/>
            </w:tcBorders>
            <w:noWrap/>
            <w:vAlign w:val="center"/>
          </w:tcPr>
          <w:p w14:paraId="2CB7F9E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方正仿宋_GBK" w:cs="Times New Roman"/>
                <w:b/>
                <w:bCs/>
                <w:i w:val="0"/>
                <w:iCs w:val="0"/>
                <w:color w:val="000000"/>
                <w:sz w:val="24"/>
                <w:szCs w:val="24"/>
                <w:u w:val="none"/>
              </w:rPr>
            </w:pPr>
            <w:r>
              <w:rPr>
                <w:rFonts w:hint="default" w:ascii="Times New Roman" w:hAnsi="Times New Roman" w:eastAsia="方正仿宋_GBK" w:cs="Times New Roman"/>
                <w:b/>
                <w:bCs/>
                <w:i w:val="0"/>
                <w:iCs w:val="0"/>
                <w:color w:val="000000"/>
                <w:kern w:val="0"/>
                <w:sz w:val="24"/>
                <w:szCs w:val="24"/>
                <w:u w:val="none"/>
                <w:lang w:val="en-US" w:eastAsia="zh-CN" w:bidi="ar"/>
              </w:rPr>
              <w:t>项目</w:t>
            </w:r>
          </w:p>
        </w:tc>
        <w:tc>
          <w:tcPr>
            <w:tcW w:w="1543" w:type="pct"/>
            <w:vMerge w:val="restart"/>
            <w:tcBorders>
              <w:top w:val="single" w:color="000000" w:sz="4" w:space="0"/>
              <w:left w:val="single" w:color="000000" w:sz="4" w:space="0"/>
              <w:bottom w:val="single" w:color="000000" w:sz="4" w:space="0"/>
              <w:right w:val="single" w:color="000000" w:sz="4" w:space="0"/>
            </w:tcBorders>
            <w:noWrap/>
            <w:vAlign w:val="center"/>
          </w:tcPr>
          <w:p w14:paraId="6A2D776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方正仿宋_GBK" w:cs="Times New Roman"/>
                <w:b/>
                <w:bCs/>
                <w:i w:val="0"/>
                <w:iCs w:val="0"/>
                <w:color w:val="000000"/>
                <w:sz w:val="24"/>
                <w:szCs w:val="24"/>
                <w:u w:val="none"/>
              </w:rPr>
            </w:pPr>
            <w:r>
              <w:rPr>
                <w:rFonts w:hint="default" w:ascii="Times New Roman" w:hAnsi="Times New Roman" w:eastAsia="方正仿宋_GBK" w:cs="Times New Roman"/>
                <w:b/>
                <w:bCs/>
                <w:i w:val="0"/>
                <w:iCs w:val="0"/>
                <w:color w:val="000000"/>
                <w:kern w:val="0"/>
                <w:sz w:val="24"/>
                <w:szCs w:val="24"/>
                <w:u w:val="none"/>
                <w:lang w:val="en-US" w:eastAsia="zh-CN" w:bidi="ar"/>
              </w:rPr>
              <w:t>合计</w:t>
            </w:r>
          </w:p>
        </w:tc>
        <w:tc>
          <w:tcPr>
            <w:tcW w:w="1369" w:type="pct"/>
            <w:tcBorders>
              <w:top w:val="single" w:color="000000" w:sz="4" w:space="0"/>
              <w:left w:val="single" w:color="000000" w:sz="4" w:space="0"/>
              <w:bottom w:val="single" w:color="000000" w:sz="4" w:space="0"/>
              <w:right w:val="single" w:color="000000" w:sz="4" w:space="0"/>
            </w:tcBorders>
            <w:noWrap/>
            <w:vAlign w:val="center"/>
          </w:tcPr>
          <w:p w14:paraId="731444D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方正仿宋_GBK" w:cs="Times New Roman"/>
                <w:b/>
                <w:bCs/>
                <w:i w:val="0"/>
                <w:iCs w:val="0"/>
                <w:color w:val="000000"/>
                <w:sz w:val="24"/>
                <w:szCs w:val="24"/>
                <w:u w:val="none"/>
              </w:rPr>
            </w:pPr>
            <w:r>
              <w:rPr>
                <w:rFonts w:hint="default" w:ascii="Times New Roman" w:hAnsi="Times New Roman" w:eastAsia="方正仿宋_GBK" w:cs="Times New Roman"/>
                <w:b/>
                <w:bCs/>
                <w:i w:val="0"/>
                <w:iCs w:val="0"/>
                <w:color w:val="000000"/>
                <w:kern w:val="0"/>
                <w:sz w:val="24"/>
                <w:szCs w:val="24"/>
                <w:u w:val="none"/>
                <w:lang w:val="en-US" w:eastAsia="zh-CN" w:bidi="ar"/>
              </w:rPr>
              <w:t>建设期</w:t>
            </w:r>
          </w:p>
        </w:tc>
      </w:tr>
      <w:tr w14:paraId="16E1E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09" w:hRule="atLeast"/>
          <w:jc w:val="center"/>
        </w:trPr>
        <w:tc>
          <w:tcPr>
            <w:tcW w:w="2087" w:type="pct"/>
            <w:vMerge w:val="continue"/>
            <w:tcBorders>
              <w:top w:val="single" w:color="000000" w:sz="4" w:space="0"/>
              <w:left w:val="single" w:color="000000" w:sz="4" w:space="0"/>
              <w:bottom w:val="single" w:color="000000" w:sz="4" w:space="0"/>
              <w:right w:val="single" w:color="000000" w:sz="4" w:space="0"/>
            </w:tcBorders>
            <w:noWrap/>
            <w:vAlign w:val="center"/>
          </w:tcPr>
          <w:p w14:paraId="11E53CF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方正仿宋_GBK" w:cs="Times New Roman"/>
                <w:b/>
                <w:bCs/>
                <w:i w:val="0"/>
                <w:iCs w:val="0"/>
                <w:color w:val="000000"/>
                <w:sz w:val="24"/>
                <w:szCs w:val="24"/>
                <w:u w:val="none"/>
              </w:rPr>
            </w:pPr>
          </w:p>
        </w:tc>
        <w:tc>
          <w:tcPr>
            <w:tcW w:w="1543" w:type="pct"/>
            <w:vMerge w:val="continue"/>
            <w:tcBorders>
              <w:top w:val="single" w:color="000000" w:sz="4" w:space="0"/>
              <w:left w:val="single" w:color="000000" w:sz="4" w:space="0"/>
              <w:bottom w:val="single" w:color="000000" w:sz="4" w:space="0"/>
              <w:right w:val="single" w:color="000000" w:sz="4" w:space="0"/>
            </w:tcBorders>
            <w:noWrap/>
            <w:vAlign w:val="center"/>
          </w:tcPr>
          <w:p w14:paraId="5FBB104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default" w:ascii="Times New Roman" w:hAnsi="Times New Roman" w:eastAsia="方正仿宋_GBK" w:cs="Times New Roman"/>
                <w:b/>
                <w:bCs/>
                <w:i w:val="0"/>
                <w:iCs w:val="0"/>
                <w:color w:val="000000"/>
                <w:sz w:val="24"/>
                <w:szCs w:val="24"/>
                <w:u w:val="none"/>
              </w:rPr>
            </w:pPr>
          </w:p>
        </w:tc>
        <w:tc>
          <w:tcPr>
            <w:tcW w:w="1369" w:type="pct"/>
            <w:tcBorders>
              <w:top w:val="single" w:color="000000" w:sz="4" w:space="0"/>
              <w:left w:val="single" w:color="000000" w:sz="4" w:space="0"/>
              <w:bottom w:val="single" w:color="000000" w:sz="4" w:space="0"/>
              <w:right w:val="single" w:color="000000" w:sz="4" w:space="0"/>
            </w:tcBorders>
            <w:noWrap w:val="0"/>
            <w:vAlign w:val="center"/>
          </w:tcPr>
          <w:p w14:paraId="213D243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方正仿宋_GBK" w:cs="Times New Roman"/>
                <w:b/>
                <w:bCs/>
                <w:i w:val="0"/>
                <w:iCs w:val="0"/>
                <w:color w:val="000000"/>
                <w:sz w:val="24"/>
                <w:szCs w:val="24"/>
                <w:u w:val="none"/>
              </w:rPr>
            </w:pPr>
            <w:r>
              <w:rPr>
                <w:rFonts w:hint="default" w:ascii="Times New Roman" w:hAnsi="Times New Roman" w:eastAsia="方正仿宋_GBK" w:cs="Times New Roman"/>
                <w:b/>
                <w:bCs/>
                <w:i w:val="0"/>
                <w:iCs w:val="0"/>
                <w:color w:val="000000"/>
                <w:kern w:val="0"/>
                <w:sz w:val="24"/>
                <w:szCs w:val="24"/>
                <w:u w:val="none"/>
                <w:lang w:val="en-US" w:eastAsia="zh-CN" w:bidi="ar"/>
              </w:rPr>
              <w:t>第1年</w:t>
            </w:r>
          </w:p>
        </w:tc>
      </w:tr>
      <w:tr w14:paraId="09E41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jc w:val="center"/>
        </w:trPr>
        <w:tc>
          <w:tcPr>
            <w:tcW w:w="2087" w:type="pct"/>
            <w:tcBorders>
              <w:top w:val="single" w:color="000000" w:sz="4" w:space="0"/>
              <w:left w:val="single" w:color="000000" w:sz="4" w:space="0"/>
              <w:bottom w:val="single" w:color="000000" w:sz="4" w:space="0"/>
              <w:right w:val="single" w:color="000000" w:sz="4" w:space="0"/>
            </w:tcBorders>
            <w:noWrap/>
            <w:vAlign w:val="center"/>
          </w:tcPr>
          <w:p w14:paraId="1781124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一、项目总投资</w:t>
            </w:r>
          </w:p>
        </w:tc>
        <w:tc>
          <w:tcPr>
            <w:tcW w:w="1543" w:type="pct"/>
            <w:tcBorders>
              <w:top w:val="single" w:color="000000" w:sz="4" w:space="0"/>
              <w:left w:val="single" w:color="000000" w:sz="4" w:space="0"/>
              <w:bottom w:val="single" w:color="000000" w:sz="4" w:space="0"/>
              <w:right w:val="single" w:color="000000" w:sz="4" w:space="0"/>
            </w:tcBorders>
            <w:noWrap/>
            <w:vAlign w:val="center"/>
          </w:tcPr>
          <w:p w14:paraId="605B0AC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5000.00</w:t>
            </w:r>
          </w:p>
        </w:tc>
        <w:tc>
          <w:tcPr>
            <w:tcW w:w="1369" w:type="pct"/>
            <w:tcBorders>
              <w:top w:val="single" w:color="000000" w:sz="4" w:space="0"/>
              <w:left w:val="single" w:color="000000" w:sz="4" w:space="0"/>
              <w:bottom w:val="single" w:color="000000" w:sz="4" w:space="0"/>
              <w:right w:val="single" w:color="000000" w:sz="4" w:space="0"/>
            </w:tcBorders>
            <w:noWrap/>
            <w:vAlign w:val="center"/>
          </w:tcPr>
          <w:p w14:paraId="2876DA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5000.00</w:t>
            </w:r>
          </w:p>
        </w:tc>
      </w:tr>
      <w:tr w14:paraId="601D3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jc w:val="center"/>
        </w:trPr>
        <w:tc>
          <w:tcPr>
            <w:tcW w:w="2087" w:type="pct"/>
            <w:tcBorders>
              <w:top w:val="single" w:color="000000" w:sz="4" w:space="0"/>
              <w:left w:val="single" w:color="000000" w:sz="4" w:space="0"/>
              <w:bottom w:val="single" w:color="000000" w:sz="4" w:space="0"/>
              <w:right w:val="single" w:color="000000" w:sz="4" w:space="0"/>
            </w:tcBorders>
            <w:noWrap/>
            <w:vAlign w:val="center"/>
          </w:tcPr>
          <w:p w14:paraId="22A6742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方正仿宋_GBK" w:cs="Times New Roman"/>
                <w:i w:val="0"/>
                <w:iCs w:val="0"/>
                <w:color w:val="000000"/>
                <w:sz w:val="24"/>
                <w:szCs w:val="24"/>
                <w:u w:val="none"/>
              </w:rPr>
            </w:pPr>
            <w:r>
              <w:rPr>
                <w:rFonts w:hint="eastAsia" w:ascii="Times New Roman" w:hAnsi="Times New Roman" w:eastAsia="方正仿宋_GBK" w:cs="Times New Roman"/>
                <w:i w:val="0"/>
                <w:iCs w:val="0"/>
                <w:color w:val="000000"/>
                <w:kern w:val="0"/>
                <w:sz w:val="24"/>
                <w:szCs w:val="24"/>
                <w:u w:val="none"/>
                <w:lang w:val="en-US" w:eastAsia="zh-CN" w:bidi="ar"/>
              </w:rPr>
              <w:t>1.</w:t>
            </w:r>
            <w:r>
              <w:rPr>
                <w:rFonts w:hint="default" w:ascii="Times New Roman" w:hAnsi="Times New Roman" w:eastAsia="方正仿宋_GBK" w:cs="Times New Roman"/>
                <w:i w:val="0"/>
                <w:iCs w:val="0"/>
                <w:color w:val="000000"/>
                <w:kern w:val="0"/>
                <w:sz w:val="24"/>
                <w:szCs w:val="24"/>
                <w:u w:val="none"/>
                <w:lang w:val="en-US" w:eastAsia="zh-CN" w:bidi="ar"/>
              </w:rPr>
              <w:t>工程费用</w:t>
            </w:r>
          </w:p>
        </w:tc>
        <w:tc>
          <w:tcPr>
            <w:tcW w:w="1543" w:type="pct"/>
            <w:tcBorders>
              <w:top w:val="single" w:color="000000" w:sz="4" w:space="0"/>
              <w:left w:val="single" w:color="000000" w:sz="4" w:space="0"/>
              <w:bottom w:val="single" w:color="000000" w:sz="4" w:space="0"/>
              <w:right w:val="single" w:color="000000" w:sz="4" w:space="0"/>
            </w:tcBorders>
            <w:noWrap/>
            <w:vAlign w:val="center"/>
          </w:tcPr>
          <w:p w14:paraId="400CCA2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3829.41</w:t>
            </w:r>
          </w:p>
        </w:tc>
        <w:tc>
          <w:tcPr>
            <w:tcW w:w="1369" w:type="pct"/>
            <w:tcBorders>
              <w:top w:val="single" w:color="000000" w:sz="4" w:space="0"/>
              <w:left w:val="single" w:color="000000" w:sz="4" w:space="0"/>
              <w:bottom w:val="single" w:color="000000" w:sz="4" w:space="0"/>
              <w:right w:val="single" w:color="000000" w:sz="4" w:space="0"/>
            </w:tcBorders>
            <w:noWrap/>
            <w:vAlign w:val="center"/>
          </w:tcPr>
          <w:p w14:paraId="1B97C7B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3829.41</w:t>
            </w:r>
          </w:p>
        </w:tc>
      </w:tr>
      <w:tr w14:paraId="5AC29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jc w:val="center"/>
        </w:trPr>
        <w:tc>
          <w:tcPr>
            <w:tcW w:w="2087" w:type="pct"/>
            <w:tcBorders>
              <w:top w:val="single" w:color="000000" w:sz="4" w:space="0"/>
              <w:left w:val="single" w:color="000000" w:sz="4" w:space="0"/>
              <w:bottom w:val="single" w:color="000000" w:sz="4" w:space="0"/>
              <w:right w:val="single" w:color="000000" w:sz="4" w:space="0"/>
            </w:tcBorders>
            <w:noWrap/>
            <w:vAlign w:val="center"/>
          </w:tcPr>
          <w:p w14:paraId="367DB8B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方正仿宋_GBK" w:cs="Times New Roman"/>
                <w:i w:val="0"/>
                <w:iCs w:val="0"/>
                <w:color w:val="000000"/>
                <w:sz w:val="24"/>
                <w:szCs w:val="24"/>
                <w:u w:val="none"/>
              </w:rPr>
            </w:pPr>
            <w:r>
              <w:rPr>
                <w:rFonts w:hint="eastAsia" w:ascii="Times New Roman" w:hAnsi="Times New Roman" w:eastAsia="方正仿宋_GBK" w:cs="Times New Roman"/>
                <w:i w:val="0"/>
                <w:iCs w:val="0"/>
                <w:color w:val="000000"/>
                <w:kern w:val="0"/>
                <w:sz w:val="24"/>
                <w:szCs w:val="24"/>
                <w:u w:val="none"/>
                <w:lang w:val="en-US" w:eastAsia="zh-CN" w:bidi="ar"/>
              </w:rPr>
              <w:t>2.</w:t>
            </w:r>
            <w:r>
              <w:rPr>
                <w:rFonts w:hint="default" w:ascii="Times New Roman" w:hAnsi="Times New Roman" w:eastAsia="方正仿宋_GBK" w:cs="Times New Roman"/>
                <w:i w:val="0"/>
                <w:iCs w:val="0"/>
                <w:color w:val="000000"/>
                <w:kern w:val="0"/>
                <w:sz w:val="24"/>
                <w:szCs w:val="24"/>
                <w:u w:val="none"/>
                <w:lang w:val="en-US" w:eastAsia="zh-CN" w:bidi="ar"/>
              </w:rPr>
              <w:t>工程其他费用</w:t>
            </w:r>
          </w:p>
        </w:tc>
        <w:tc>
          <w:tcPr>
            <w:tcW w:w="1543" w:type="pct"/>
            <w:tcBorders>
              <w:top w:val="single" w:color="000000" w:sz="4" w:space="0"/>
              <w:left w:val="single" w:color="000000" w:sz="4" w:space="0"/>
              <w:bottom w:val="single" w:color="000000" w:sz="4" w:space="0"/>
              <w:right w:val="single" w:color="000000" w:sz="4" w:space="0"/>
            </w:tcBorders>
            <w:noWrap/>
            <w:vAlign w:val="center"/>
          </w:tcPr>
          <w:p w14:paraId="0534A7D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791.55</w:t>
            </w:r>
          </w:p>
        </w:tc>
        <w:tc>
          <w:tcPr>
            <w:tcW w:w="1369" w:type="pct"/>
            <w:tcBorders>
              <w:top w:val="single" w:color="000000" w:sz="4" w:space="0"/>
              <w:left w:val="single" w:color="000000" w:sz="4" w:space="0"/>
              <w:bottom w:val="single" w:color="000000" w:sz="4" w:space="0"/>
              <w:right w:val="single" w:color="000000" w:sz="4" w:space="0"/>
            </w:tcBorders>
            <w:noWrap/>
            <w:vAlign w:val="center"/>
          </w:tcPr>
          <w:p w14:paraId="6FC7C7B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791.55</w:t>
            </w:r>
          </w:p>
        </w:tc>
      </w:tr>
      <w:tr w14:paraId="42255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jc w:val="center"/>
        </w:trPr>
        <w:tc>
          <w:tcPr>
            <w:tcW w:w="2087" w:type="pct"/>
            <w:tcBorders>
              <w:top w:val="single" w:color="000000" w:sz="4" w:space="0"/>
              <w:left w:val="single" w:color="000000" w:sz="4" w:space="0"/>
              <w:bottom w:val="single" w:color="000000" w:sz="4" w:space="0"/>
              <w:right w:val="single" w:color="000000" w:sz="4" w:space="0"/>
            </w:tcBorders>
            <w:noWrap/>
            <w:vAlign w:val="center"/>
          </w:tcPr>
          <w:p w14:paraId="300E499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方正仿宋_GBK" w:cs="Times New Roman"/>
                <w:i w:val="0"/>
                <w:iCs w:val="0"/>
                <w:color w:val="000000"/>
                <w:sz w:val="24"/>
                <w:szCs w:val="24"/>
                <w:u w:val="none"/>
              </w:rPr>
            </w:pPr>
            <w:r>
              <w:rPr>
                <w:rFonts w:hint="eastAsia" w:ascii="Times New Roman" w:hAnsi="Times New Roman" w:eastAsia="方正仿宋_GBK" w:cs="Times New Roman"/>
                <w:i w:val="0"/>
                <w:iCs w:val="0"/>
                <w:color w:val="000000"/>
                <w:kern w:val="0"/>
                <w:sz w:val="24"/>
                <w:szCs w:val="24"/>
                <w:u w:val="none"/>
                <w:lang w:val="en-US" w:eastAsia="zh-CN" w:bidi="ar"/>
              </w:rPr>
              <w:t>3.</w:t>
            </w:r>
            <w:r>
              <w:rPr>
                <w:rFonts w:hint="default" w:ascii="Times New Roman" w:hAnsi="Times New Roman" w:eastAsia="方正仿宋_GBK" w:cs="Times New Roman"/>
                <w:i w:val="0"/>
                <w:iCs w:val="0"/>
                <w:color w:val="000000"/>
                <w:kern w:val="0"/>
                <w:sz w:val="24"/>
                <w:szCs w:val="24"/>
                <w:u w:val="none"/>
                <w:lang w:val="en-US" w:eastAsia="zh-CN" w:bidi="ar"/>
              </w:rPr>
              <w:t>预备费</w:t>
            </w:r>
          </w:p>
        </w:tc>
        <w:tc>
          <w:tcPr>
            <w:tcW w:w="1543" w:type="pct"/>
            <w:tcBorders>
              <w:top w:val="single" w:color="000000" w:sz="4" w:space="0"/>
              <w:left w:val="single" w:color="000000" w:sz="4" w:space="0"/>
              <w:bottom w:val="single" w:color="000000" w:sz="4" w:space="0"/>
              <w:right w:val="single" w:color="000000" w:sz="4" w:space="0"/>
            </w:tcBorders>
            <w:noWrap/>
            <w:vAlign w:val="center"/>
          </w:tcPr>
          <w:p w14:paraId="686EA7F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231.05</w:t>
            </w:r>
          </w:p>
        </w:tc>
        <w:tc>
          <w:tcPr>
            <w:tcW w:w="1369" w:type="pct"/>
            <w:tcBorders>
              <w:top w:val="single" w:color="000000" w:sz="4" w:space="0"/>
              <w:left w:val="single" w:color="000000" w:sz="4" w:space="0"/>
              <w:bottom w:val="single" w:color="000000" w:sz="4" w:space="0"/>
              <w:right w:val="single" w:color="000000" w:sz="4" w:space="0"/>
            </w:tcBorders>
            <w:noWrap/>
            <w:vAlign w:val="center"/>
          </w:tcPr>
          <w:p w14:paraId="3F87D1F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231.05</w:t>
            </w:r>
          </w:p>
        </w:tc>
      </w:tr>
      <w:tr w14:paraId="548EB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jc w:val="center"/>
        </w:trPr>
        <w:tc>
          <w:tcPr>
            <w:tcW w:w="2087" w:type="pct"/>
            <w:tcBorders>
              <w:top w:val="single" w:color="000000" w:sz="4" w:space="0"/>
              <w:left w:val="single" w:color="000000" w:sz="4" w:space="0"/>
              <w:bottom w:val="single" w:color="000000" w:sz="4" w:space="0"/>
              <w:right w:val="single" w:color="000000" w:sz="4" w:space="0"/>
            </w:tcBorders>
            <w:noWrap/>
            <w:vAlign w:val="center"/>
          </w:tcPr>
          <w:p w14:paraId="007586C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方正仿宋_GBK" w:cs="Times New Roman"/>
                <w:i w:val="0"/>
                <w:iCs w:val="0"/>
                <w:color w:val="000000"/>
                <w:sz w:val="24"/>
                <w:szCs w:val="24"/>
                <w:u w:val="none"/>
              </w:rPr>
            </w:pPr>
            <w:r>
              <w:rPr>
                <w:rFonts w:hint="eastAsia" w:ascii="Times New Roman" w:hAnsi="Times New Roman" w:eastAsia="方正仿宋_GBK" w:cs="Times New Roman"/>
                <w:i w:val="0"/>
                <w:iCs w:val="0"/>
                <w:color w:val="000000"/>
                <w:kern w:val="0"/>
                <w:sz w:val="24"/>
                <w:szCs w:val="24"/>
                <w:u w:val="none"/>
                <w:lang w:val="en-US" w:eastAsia="zh-CN" w:bidi="ar"/>
              </w:rPr>
              <w:t>4.</w:t>
            </w:r>
            <w:r>
              <w:rPr>
                <w:rFonts w:hint="default" w:ascii="Times New Roman" w:hAnsi="Times New Roman" w:eastAsia="方正仿宋_GBK" w:cs="Times New Roman"/>
                <w:i w:val="0"/>
                <w:iCs w:val="0"/>
                <w:color w:val="000000"/>
                <w:kern w:val="0"/>
                <w:sz w:val="24"/>
                <w:szCs w:val="24"/>
                <w:u w:val="none"/>
                <w:lang w:val="en-US" w:eastAsia="zh-CN" w:bidi="ar"/>
              </w:rPr>
              <w:t>建设期利息</w:t>
            </w:r>
          </w:p>
        </w:tc>
        <w:tc>
          <w:tcPr>
            <w:tcW w:w="1543" w:type="pct"/>
            <w:tcBorders>
              <w:top w:val="single" w:color="000000" w:sz="4" w:space="0"/>
              <w:left w:val="single" w:color="000000" w:sz="4" w:space="0"/>
              <w:bottom w:val="single" w:color="000000" w:sz="4" w:space="0"/>
              <w:right w:val="single" w:color="000000" w:sz="4" w:space="0"/>
            </w:tcBorders>
            <w:noWrap/>
            <w:vAlign w:val="center"/>
          </w:tcPr>
          <w:p w14:paraId="0F45965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144.00</w:t>
            </w:r>
          </w:p>
        </w:tc>
        <w:tc>
          <w:tcPr>
            <w:tcW w:w="1369" w:type="pct"/>
            <w:tcBorders>
              <w:top w:val="single" w:color="000000" w:sz="4" w:space="0"/>
              <w:left w:val="single" w:color="000000" w:sz="4" w:space="0"/>
              <w:bottom w:val="single" w:color="000000" w:sz="4" w:space="0"/>
              <w:right w:val="single" w:color="000000" w:sz="4" w:space="0"/>
            </w:tcBorders>
            <w:noWrap/>
            <w:vAlign w:val="center"/>
          </w:tcPr>
          <w:p w14:paraId="25DC259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144.00</w:t>
            </w:r>
          </w:p>
        </w:tc>
      </w:tr>
      <w:tr w14:paraId="0A32C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jc w:val="center"/>
        </w:trPr>
        <w:tc>
          <w:tcPr>
            <w:tcW w:w="2087" w:type="pct"/>
            <w:tcBorders>
              <w:top w:val="single" w:color="000000" w:sz="4" w:space="0"/>
              <w:left w:val="single" w:color="000000" w:sz="4" w:space="0"/>
              <w:bottom w:val="single" w:color="000000" w:sz="4" w:space="0"/>
              <w:right w:val="single" w:color="000000" w:sz="4" w:space="0"/>
            </w:tcBorders>
            <w:noWrap/>
            <w:vAlign w:val="center"/>
          </w:tcPr>
          <w:p w14:paraId="77A5336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方正仿宋_GBK" w:cs="Times New Roman"/>
                <w:i w:val="0"/>
                <w:iCs w:val="0"/>
                <w:color w:val="000000"/>
                <w:sz w:val="24"/>
                <w:szCs w:val="24"/>
                <w:u w:val="none"/>
              </w:rPr>
            </w:pPr>
            <w:r>
              <w:rPr>
                <w:rFonts w:hint="eastAsia" w:ascii="Times New Roman" w:hAnsi="Times New Roman" w:eastAsia="方正仿宋_GBK" w:cs="Times New Roman"/>
                <w:i w:val="0"/>
                <w:iCs w:val="0"/>
                <w:color w:val="000000"/>
                <w:kern w:val="0"/>
                <w:sz w:val="24"/>
                <w:szCs w:val="24"/>
                <w:u w:val="none"/>
                <w:lang w:val="en-US" w:eastAsia="zh-CN" w:bidi="ar"/>
              </w:rPr>
              <w:t>5.</w:t>
            </w:r>
            <w:r>
              <w:rPr>
                <w:rFonts w:hint="default" w:ascii="Times New Roman" w:hAnsi="Times New Roman" w:eastAsia="方正仿宋_GBK" w:cs="Times New Roman"/>
                <w:i w:val="0"/>
                <w:iCs w:val="0"/>
                <w:color w:val="000000"/>
                <w:kern w:val="0"/>
                <w:sz w:val="24"/>
                <w:szCs w:val="24"/>
                <w:u w:val="none"/>
                <w:lang w:val="en-US" w:eastAsia="zh-CN" w:bidi="ar"/>
              </w:rPr>
              <w:t>债券发行费</w:t>
            </w:r>
          </w:p>
        </w:tc>
        <w:tc>
          <w:tcPr>
            <w:tcW w:w="1543" w:type="pct"/>
            <w:tcBorders>
              <w:top w:val="single" w:color="000000" w:sz="4" w:space="0"/>
              <w:left w:val="single" w:color="000000" w:sz="4" w:space="0"/>
              <w:bottom w:val="single" w:color="000000" w:sz="4" w:space="0"/>
              <w:right w:val="single" w:color="000000" w:sz="4" w:space="0"/>
            </w:tcBorders>
            <w:noWrap/>
            <w:vAlign w:val="center"/>
          </w:tcPr>
          <w:p w14:paraId="06E9A20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4.00</w:t>
            </w:r>
          </w:p>
        </w:tc>
        <w:tc>
          <w:tcPr>
            <w:tcW w:w="1369" w:type="pct"/>
            <w:tcBorders>
              <w:top w:val="single" w:color="000000" w:sz="4" w:space="0"/>
              <w:left w:val="single" w:color="000000" w:sz="4" w:space="0"/>
              <w:bottom w:val="single" w:color="000000" w:sz="4" w:space="0"/>
              <w:right w:val="single" w:color="000000" w:sz="4" w:space="0"/>
            </w:tcBorders>
            <w:noWrap/>
            <w:vAlign w:val="center"/>
          </w:tcPr>
          <w:p w14:paraId="243EF9F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4.00</w:t>
            </w:r>
          </w:p>
        </w:tc>
      </w:tr>
      <w:tr w14:paraId="02B6C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jc w:val="center"/>
        </w:trPr>
        <w:tc>
          <w:tcPr>
            <w:tcW w:w="2087" w:type="pct"/>
            <w:tcBorders>
              <w:top w:val="single" w:color="000000" w:sz="4" w:space="0"/>
              <w:left w:val="single" w:color="000000" w:sz="4" w:space="0"/>
              <w:bottom w:val="single" w:color="000000" w:sz="4" w:space="0"/>
              <w:right w:val="single" w:color="000000" w:sz="4" w:space="0"/>
            </w:tcBorders>
            <w:noWrap/>
            <w:vAlign w:val="center"/>
          </w:tcPr>
          <w:p w14:paraId="6A3D1A7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二、资金来源</w:t>
            </w:r>
          </w:p>
        </w:tc>
        <w:tc>
          <w:tcPr>
            <w:tcW w:w="1543" w:type="pct"/>
            <w:tcBorders>
              <w:top w:val="single" w:color="000000" w:sz="4" w:space="0"/>
              <w:left w:val="single" w:color="000000" w:sz="4" w:space="0"/>
              <w:bottom w:val="single" w:color="000000" w:sz="4" w:space="0"/>
              <w:right w:val="single" w:color="000000" w:sz="4" w:space="0"/>
            </w:tcBorders>
            <w:noWrap/>
            <w:vAlign w:val="center"/>
          </w:tcPr>
          <w:p w14:paraId="322AC65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5000.00</w:t>
            </w:r>
          </w:p>
        </w:tc>
        <w:tc>
          <w:tcPr>
            <w:tcW w:w="1369" w:type="pct"/>
            <w:tcBorders>
              <w:top w:val="single" w:color="000000" w:sz="4" w:space="0"/>
              <w:left w:val="single" w:color="000000" w:sz="4" w:space="0"/>
              <w:bottom w:val="single" w:color="000000" w:sz="4" w:space="0"/>
              <w:right w:val="single" w:color="000000" w:sz="4" w:space="0"/>
            </w:tcBorders>
            <w:noWrap/>
            <w:vAlign w:val="center"/>
          </w:tcPr>
          <w:p w14:paraId="266A0BE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5000.00</w:t>
            </w:r>
          </w:p>
        </w:tc>
      </w:tr>
      <w:tr w14:paraId="2B76F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jc w:val="center"/>
        </w:trPr>
        <w:tc>
          <w:tcPr>
            <w:tcW w:w="2087" w:type="pct"/>
            <w:tcBorders>
              <w:top w:val="single" w:color="000000" w:sz="4" w:space="0"/>
              <w:left w:val="single" w:color="000000" w:sz="4" w:space="0"/>
              <w:bottom w:val="single" w:color="000000" w:sz="4" w:space="0"/>
              <w:right w:val="single" w:color="000000" w:sz="4" w:space="0"/>
            </w:tcBorders>
            <w:noWrap/>
            <w:vAlign w:val="center"/>
          </w:tcPr>
          <w:p w14:paraId="3A3A46E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方正仿宋_GBK" w:cs="Times New Roman"/>
                <w:i w:val="0"/>
                <w:iCs w:val="0"/>
                <w:color w:val="000000"/>
                <w:sz w:val="24"/>
                <w:szCs w:val="24"/>
                <w:u w:val="none"/>
              </w:rPr>
            </w:pPr>
            <w:r>
              <w:rPr>
                <w:rFonts w:hint="eastAsia" w:ascii="Times New Roman" w:hAnsi="Times New Roman" w:eastAsia="方正仿宋_GBK" w:cs="Times New Roman"/>
                <w:i w:val="0"/>
                <w:iCs w:val="0"/>
                <w:color w:val="000000"/>
                <w:kern w:val="0"/>
                <w:sz w:val="24"/>
                <w:szCs w:val="24"/>
                <w:u w:val="none"/>
                <w:lang w:val="en-US" w:eastAsia="zh-CN" w:bidi="ar"/>
              </w:rPr>
              <w:t>1.</w:t>
            </w:r>
            <w:r>
              <w:rPr>
                <w:rFonts w:hint="default" w:ascii="Times New Roman" w:hAnsi="Times New Roman" w:eastAsia="方正仿宋_GBK" w:cs="Times New Roman"/>
                <w:i w:val="0"/>
                <w:iCs w:val="0"/>
                <w:color w:val="000000"/>
                <w:kern w:val="0"/>
                <w:sz w:val="24"/>
                <w:szCs w:val="24"/>
                <w:u w:val="none"/>
                <w:lang w:val="en-US" w:eastAsia="zh-CN" w:bidi="ar"/>
              </w:rPr>
              <w:t>项目资本金</w:t>
            </w:r>
          </w:p>
        </w:tc>
        <w:tc>
          <w:tcPr>
            <w:tcW w:w="1543" w:type="pct"/>
            <w:tcBorders>
              <w:top w:val="single" w:color="000000" w:sz="4" w:space="0"/>
              <w:left w:val="single" w:color="000000" w:sz="4" w:space="0"/>
              <w:bottom w:val="single" w:color="000000" w:sz="4" w:space="0"/>
              <w:right w:val="single" w:color="000000" w:sz="4" w:space="0"/>
            </w:tcBorders>
            <w:noWrap/>
            <w:vAlign w:val="center"/>
          </w:tcPr>
          <w:p w14:paraId="5305FE4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1000.00</w:t>
            </w:r>
          </w:p>
        </w:tc>
        <w:tc>
          <w:tcPr>
            <w:tcW w:w="1369" w:type="pct"/>
            <w:tcBorders>
              <w:top w:val="single" w:color="000000" w:sz="4" w:space="0"/>
              <w:left w:val="single" w:color="000000" w:sz="4" w:space="0"/>
              <w:bottom w:val="single" w:color="000000" w:sz="4" w:space="0"/>
              <w:right w:val="single" w:color="000000" w:sz="4" w:space="0"/>
            </w:tcBorders>
            <w:noWrap/>
            <w:vAlign w:val="center"/>
          </w:tcPr>
          <w:p w14:paraId="0D940B5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1000.00</w:t>
            </w:r>
          </w:p>
        </w:tc>
      </w:tr>
      <w:tr w14:paraId="6DAB5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jc w:val="center"/>
        </w:trPr>
        <w:tc>
          <w:tcPr>
            <w:tcW w:w="2087" w:type="pct"/>
            <w:tcBorders>
              <w:top w:val="single" w:color="000000" w:sz="4" w:space="0"/>
              <w:left w:val="single" w:color="000000" w:sz="4" w:space="0"/>
              <w:bottom w:val="single" w:color="000000" w:sz="4" w:space="0"/>
              <w:right w:val="single" w:color="000000" w:sz="4" w:space="0"/>
            </w:tcBorders>
            <w:noWrap/>
            <w:vAlign w:val="center"/>
          </w:tcPr>
          <w:p w14:paraId="55629E3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方正仿宋_GBK" w:cs="Times New Roman"/>
                <w:i w:val="0"/>
                <w:iCs w:val="0"/>
                <w:color w:val="000000"/>
                <w:sz w:val="24"/>
                <w:szCs w:val="24"/>
                <w:u w:val="none"/>
              </w:rPr>
            </w:pPr>
            <w:r>
              <w:rPr>
                <w:rFonts w:hint="eastAsia" w:ascii="Times New Roman" w:hAnsi="Times New Roman" w:eastAsia="方正仿宋_GBK" w:cs="Times New Roman"/>
                <w:i w:val="0"/>
                <w:iCs w:val="0"/>
                <w:color w:val="000000"/>
                <w:kern w:val="0"/>
                <w:sz w:val="24"/>
                <w:szCs w:val="24"/>
                <w:u w:val="none"/>
                <w:lang w:val="en-US" w:eastAsia="zh-CN" w:bidi="ar"/>
              </w:rPr>
              <w:t>2.</w:t>
            </w:r>
            <w:r>
              <w:rPr>
                <w:rFonts w:hint="default" w:ascii="Times New Roman" w:hAnsi="Times New Roman" w:eastAsia="方正仿宋_GBK" w:cs="Times New Roman"/>
                <w:i w:val="0"/>
                <w:iCs w:val="0"/>
                <w:color w:val="000000"/>
                <w:kern w:val="0"/>
                <w:sz w:val="24"/>
                <w:szCs w:val="24"/>
                <w:u w:val="none"/>
                <w:lang w:val="en-US" w:eastAsia="zh-CN" w:bidi="ar"/>
              </w:rPr>
              <w:t>专项债</w:t>
            </w:r>
          </w:p>
        </w:tc>
        <w:tc>
          <w:tcPr>
            <w:tcW w:w="1543" w:type="pct"/>
            <w:tcBorders>
              <w:top w:val="single" w:color="000000" w:sz="4" w:space="0"/>
              <w:left w:val="single" w:color="000000" w:sz="4" w:space="0"/>
              <w:bottom w:val="single" w:color="000000" w:sz="4" w:space="0"/>
              <w:right w:val="single" w:color="000000" w:sz="4" w:space="0"/>
            </w:tcBorders>
            <w:noWrap/>
            <w:vAlign w:val="center"/>
          </w:tcPr>
          <w:p w14:paraId="7ACAD20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4000.00</w:t>
            </w:r>
          </w:p>
        </w:tc>
        <w:tc>
          <w:tcPr>
            <w:tcW w:w="1369" w:type="pct"/>
            <w:tcBorders>
              <w:top w:val="single" w:color="000000" w:sz="4" w:space="0"/>
              <w:left w:val="single" w:color="000000" w:sz="4" w:space="0"/>
              <w:bottom w:val="single" w:color="000000" w:sz="4" w:space="0"/>
              <w:right w:val="single" w:color="000000" w:sz="4" w:space="0"/>
            </w:tcBorders>
            <w:noWrap/>
            <w:vAlign w:val="center"/>
          </w:tcPr>
          <w:p w14:paraId="10B22A4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方正仿宋_GBK" w:cs="Times New Roman"/>
                <w:i w:val="0"/>
                <w:iCs w:val="0"/>
                <w:color w:val="000000"/>
                <w:sz w:val="24"/>
                <w:szCs w:val="24"/>
                <w:u w:val="none"/>
              </w:rPr>
            </w:pPr>
            <w:r>
              <w:rPr>
                <w:rFonts w:hint="default" w:ascii="Times New Roman" w:hAnsi="Times New Roman" w:eastAsia="方正仿宋_GBK" w:cs="Times New Roman"/>
                <w:i w:val="0"/>
                <w:iCs w:val="0"/>
                <w:color w:val="000000"/>
                <w:kern w:val="0"/>
                <w:sz w:val="24"/>
                <w:szCs w:val="24"/>
                <w:u w:val="none"/>
                <w:lang w:val="en-US" w:eastAsia="zh-CN" w:bidi="ar"/>
              </w:rPr>
              <w:t>4000.00</w:t>
            </w:r>
          </w:p>
        </w:tc>
      </w:tr>
    </w:tbl>
    <w:p w14:paraId="58A1EED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outlineLvl w:val="0"/>
        <w:rPr>
          <w:rFonts w:hint="eastAsia" w:ascii="方正黑体_GBK" w:hAnsi="方正黑体_GBK" w:eastAsia="方正黑体_GBK" w:cs="方正黑体_GBK"/>
          <w:b/>
          <w:bCs/>
          <w:sz w:val="32"/>
          <w:szCs w:val="32"/>
          <w:lang w:val="en-US" w:eastAsia="zh-CN"/>
        </w:rPr>
      </w:pPr>
      <w:r>
        <w:rPr>
          <w:rFonts w:hint="eastAsia" w:ascii="方正黑体_GBK" w:hAnsi="方正黑体_GBK" w:eastAsia="方正黑体_GBK" w:cs="方正黑体_GBK"/>
          <w:b/>
          <w:bCs/>
          <w:sz w:val="32"/>
          <w:szCs w:val="32"/>
          <w:lang w:val="en-US" w:eastAsia="zh-CN"/>
        </w:rPr>
        <w:t>四、项目预期收益、成本及融资平衡情况</w:t>
      </w:r>
      <w:bookmarkEnd w:id="95"/>
    </w:p>
    <w:p w14:paraId="28E4E985">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9"/>
        <w:rPr>
          <w:rFonts w:hint="default" w:ascii="方正楷体_GBK" w:hAnsi="方正楷体_GBK" w:eastAsia="方正楷体_GBK" w:cs="方正楷体_GBK"/>
          <w:b/>
          <w:bCs/>
          <w:sz w:val="32"/>
          <w:szCs w:val="32"/>
          <w:lang w:val="en-US"/>
        </w:rPr>
      </w:pPr>
      <w:bookmarkStart w:id="96" w:name="_Toc523157072"/>
      <w:bookmarkStart w:id="97" w:name="_Toc523481552"/>
      <w:bookmarkStart w:id="98" w:name="_Toc533440345"/>
      <w:bookmarkStart w:id="99" w:name="_Toc522211088"/>
      <w:bookmarkStart w:id="100" w:name="_Toc1720155"/>
      <w:bookmarkStart w:id="101" w:name="_Toc27170"/>
      <w:r>
        <w:rPr>
          <w:rFonts w:hint="default" w:ascii="方正楷体_GBK" w:hAnsi="方正楷体_GBK" w:eastAsia="方正楷体_GBK" w:cs="方正楷体_GBK"/>
          <w:b/>
          <w:bCs/>
          <w:sz w:val="32"/>
          <w:szCs w:val="32"/>
          <w:lang w:val="en-US" w:eastAsia="zh-CN"/>
        </w:rPr>
        <w:t>（一）</w:t>
      </w:r>
      <w:r>
        <w:rPr>
          <w:rFonts w:hint="default" w:ascii="方正楷体_GBK" w:hAnsi="方正楷体_GBK" w:eastAsia="方正楷体_GBK" w:cs="方正楷体_GBK"/>
          <w:b/>
          <w:bCs/>
          <w:sz w:val="32"/>
          <w:szCs w:val="32"/>
          <w:lang w:val="en-US"/>
        </w:rPr>
        <w:t>预期收益</w:t>
      </w:r>
      <w:bookmarkEnd w:id="96"/>
      <w:bookmarkEnd w:id="97"/>
      <w:bookmarkEnd w:id="98"/>
      <w:bookmarkEnd w:id="99"/>
      <w:bookmarkEnd w:id="100"/>
      <w:bookmarkEnd w:id="101"/>
    </w:p>
    <w:p w14:paraId="72FD963F">
      <w:pPr>
        <w:keepNext w:val="0"/>
        <w:keepLines w:val="0"/>
        <w:pageBreakBefore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方正仿宋_GBK" w:cs="Times New Roman"/>
          <w:b/>
          <w:bCs/>
          <w:sz w:val="32"/>
          <w:szCs w:val="32"/>
          <w:lang w:val="en-US" w:eastAsia="zh-CN"/>
        </w:rPr>
      </w:pPr>
      <w:r>
        <w:rPr>
          <w:rFonts w:hint="default" w:ascii="Times New Roman" w:hAnsi="Times New Roman" w:eastAsia="方正仿宋_GBK" w:cs="Times New Roman"/>
          <w:b/>
          <w:bCs/>
          <w:sz w:val="32"/>
          <w:szCs w:val="32"/>
          <w:lang w:val="en-US" w:eastAsia="zh-CN"/>
        </w:rPr>
        <w:t>1.项目收入预测</w:t>
      </w:r>
    </w:p>
    <w:p w14:paraId="6BCE6A40">
      <w:pPr>
        <w:keepNext w:val="0"/>
        <w:keepLines w:val="0"/>
        <w:pageBreakBefore w:val="0"/>
        <w:widowControl/>
        <w:suppressLineNumbers w:val="0"/>
        <w:kinsoku/>
        <w:wordWrap/>
        <w:overflowPunct/>
        <w:topLinePunct w:val="0"/>
        <w:autoSpaceDE/>
        <w:autoSpaceDN/>
        <w:bidi w:val="0"/>
        <w:adjustRightInd/>
        <w:snapToGrid/>
        <w:spacing w:afterAutospacing="0" w:line="560" w:lineRule="exact"/>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本项目收入来源：游客集散中心出租收入、停车位收入、充电桩服务费收入、灯箱广告位出租收入等。</w:t>
      </w:r>
    </w:p>
    <w:p w14:paraId="7056B5E1">
      <w:pPr>
        <w:keepNext w:val="0"/>
        <w:keepLines w:val="0"/>
        <w:pageBreakBefore w:val="0"/>
        <w:widowControl/>
        <w:suppressLineNumbers w:val="0"/>
        <w:kinsoku/>
        <w:wordWrap/>
        <w:overflowPunct/>
        <w:topLinePunct w:val="0"/>
        <w:autoSpaceDE/>
        <w:autoSpaceDN/>
        <w:bidi w:val="0"/>
        <w:adjustRightInd/>
        <w:snapToGrid/>
        <w:spacing w:afterAutospacing="0" w:line="560" w:lineRule="exact"/>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r>
        <w:rPr>
          <w:rFonts w:hint="default" w:ascii="Times New Roman" w:hAnsi="Times New Roman" w:eastAsia="方正仿宋_GBK" w:cs="Times New Roman"/>
          <w:b w:val="0"/>
          <w:bCs w:val="0"/>
          <w:caps/>
          <w:kern w:val="2"/>
          <w:sz w:val="32"/>
          <w:szCs w:val="32"/>
          <w:lang w:val="en-US" w:eastAsia="zh-CN" w:bidi="ar-SA"/>
        </w:rPr>
        <w:t>本项目债权期限内，项目收入进行测算，项目运营期收入合计为17398.65万元。</w:t>
      </w:r>
    </w:p>
    <w:p w14:paraId="231C6E4D">
      <w:pPr>
        <w:keepNext w:val="0"/>
        <w:keepLines w:val="0"/>
        <w:pageBreakBefore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方正仿宋_GBK" w:cs="Times New Roman"/>
          <w:b/>
          <w:bCs/>
          <w:sz w:val="32"/>
          <w:szCs w:val="32"/>
          <w:lang w:val="en-US" w:eastAsia="zh-CN"/>
        </w:rPr>
      </w:pPr>
      <w:r>
        <w:rPr>
          <w:rFonts w:hint="default" w:ascii="Times New Roman" w:hAnsi="Times New Roman" w:eastAsia="方正仿宋_GBK" w:cs="Times New Roman"/>
          <w:b/>
          <w:bCs/>
          <w:sz w:val="32"/>
          <w:szCs w:val="32"/>
          <w:lang w:val="en-US" w:eastAsia="zh-CN"/>
        </w:rPr>
        <w:t>2.成本预测</w:t>
      </w:r>
    </w:p>
    <w:p w14:paraId="03B32260">
      <w:pPr>
        <w:keepNext w:val="0"/>
        <w:keepLines w:val="0"/>
        <w:pageBreakBefore w:val="0"/>
        <w:widowControl/>
        <w:suppressLineNumbers w:val="0"/>
        <w:kinsoku/>
        <w:wordWrap/>
        <w:overflowPunct/>
        <w:topLinePunct w:val="0"/>
        <w:autoSpaceDE/>
        <w:autoSpaceDN/>
        <w:bidi w:val="0"/>
        <w:adjustRightInd/>
        <w:snapToGrid/>
        <w:spacing w:afterAutospacing="0" w:line="560" w:lineRule="exact"/>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bookmarkStart w:id="102" w:name="_Toc373"/>
      <w:r>
        <w:rPr>
          <w:rFonts w:hint="default" w:ascii="Times New Roman" w:hAnsi="Times New Roman" w:eastAsia="方正仿宋_GBK" w:cs="Times New Roman"/>
          <w:b w:val="0"/>
          <w:bCs w:val="0"/>
          <w:caps/>
          <w:kern w:val="2"/>
          <w:sz w:val="32"/>
          <w:szCs w:val="32"/>
          <w:lang w:val="en-US" w:eastAsia="zh-CN" w:bidi="ar-SA"/>
        </w:rPr>
        <w:t>本项目成本包括：水利工程运行费、人员工资及福利、管理成本、折旧、财务成本、相关税费。预测项目总成本费用为：17398.65万元。</w:t>
      </w:r>
    </w:p>
    <w:bookmarkEnd w:id="102"/>
    <w:p w14:paraId="0BA4A2A1">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outlineLvl w:val="9"/>
        <w:rPr>
          <w:rFonts w:hint="default" w:ascii="方正楷体_GBK" w:hAnsi="方正楷体_GBK" w:eastAsia="方正楷体_GBK" w:cs="方正楷体_GBK"/>
          <w:b/>
          <w:bCs/>
          <w:sz w:val="32"/>
          <w:szCs w:val="32"/>
          <w:lang w:val="en-US"/>
        </w:rPr>
      </w:pPr>
      <w:r>
        <w:rPr>
          <w:rFonts w:hint="default" w:ascii="方正楷体_GBK" w:hAnsi="方正楷体_GBK" w:eastAsia="方正楷体_GBK" w:cs="方正楷体_GBK"/>
          <w:b/>
          <w:bCs/>
          <w:sz w:val="32"/>
          <w:szCs w:val="32"/>
          <w:lang w:val="en-US" w:eastAsia="zh-CN"/>
        </w:rPr>
        <w:t>（二）</w:t>
      </w:r>
      <w:r>
        <w:rPr>
          <w:rFonts w:hint="default" w:ascii="方正楷体_GBK" w:hAnsi="方正楷体_GBK" w:eastAsia="方正楷体_GBK" w:cs="方正楷体_GBK"/>
          <w:b/>
          <w:bCs/>
          <w:sz w:val="32"/>
          <w:szCs w:val="32"/>
          <w:lang w:val="en-US"/>
        </w:rPr>
        <w:t>资金测算平衡情况</w:t>
      </w:r>
    </w:p>
    <w:p w14:paraId="3A029036">
      <w:pPr>
        <w:keepNext w:val="0"/>
        <w:keepLines w:val="0"/>
        <w:pageBreakBefore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方正仿宋_GBK" w:cs="Times New Roman"/>
          <w:b/>
          <w:bCs/>
          <w:sz w:val="32"/>
          <w:szCs w:val="32"/>
          <w:lang w:val="en-US" w:eastAsia="zh-CN"/>
        </w:rPr>
      </w:pPr>
      <w:bookmarkStart w:id="103" w:name="_Toc24256"/>
      <w:bookmarkStart w:id="104" w:name="_Toc18760766"/>
      <w:bookmarkStart w:id="105" w:name="_Toc1381"/>
      <w:bookmarkStart w:id="106" w:name="_Toc20333"/>
      <w:r>
        <w:rPr>
          <w:rFonts w:hint="default" w:ascii="Times New Roman" w:hAnsi="Times New Roman" w:eastAsia="方正仿宋_GBK" w:cs="Times New Roman"/>
          <w:b/>
          <w:bCs/>
          <w:sz w:val="32"/>
          <w:szCs w:val="32"/>
          <w:lang w:val="en-US" w:eastAsia="zh-CN"/>
        </w:rPr>
        <w:t>1.项目还本付息计划</w:t>
      </w:r>
      <w:bookmarkEnd w:id="103"/>
      <w:bookmarkEnd w:id="104"/>
      <w:bookmarkEnd w:id="105"/>
      <w:bookmarkEnd w:id="106"/>
    </w:p>
    <w:p w14:paraId="43CFCB1A">
      <w:pPr>
        <w:keepNext w:val="0"/>
        <w:keepLines w:val="0"/>
        <w:pageBreakBefore w:val="0"/>
        <w:widowControl/>
        <w:suppressLineNumbers w:val="0"/>
        <w:kinsoku/>
        <w:wordWrap/>
        <w:overflowPunct/>
        <w:topLinePunct w:val="0"/>
        <w:autoSpaceDE/>
        <w:autoSpaceDN/>
        <w:bidi w:val="0"/>
        <w:adjustRightInd/>
        <w:snapToGrid/>
        <w:spacing w:afterAutospacing="0" w:line="560" w:lineRule="exact"/>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pPr>
      <w:bookmarkStart w:id="107" w:name="_Toc12782"/>
      <w:bookmarkStart w:id="108" w:name="_Toc13883"/>
      <w:bookmarkStart w:id="109" w:name="_Toc15443"/>
      <w:bookmarkStart w:id="110" w:name="_Toc18760767"/>
      <w:r>
        <w:rPr>
          <w:rFonts w:hint="default" w:ascii="Times New Roman" w:hAnsi="Times New Roman" w:eastAsia="方正仿宋_GBK" w:cs="Times New Roman"/>
          <w:b w:val="0"/>
          <w:bCs w:val="0"/>
          <w:caps/>
          <w:kern w:val="2"/>
          <w:sz w:val="32"/>
          <w:szCs w:val="32"/>
          <w:lang w:val="en-US" w:eastAsia="zh-CN" w:bidi="ar-SA"/>
        </w:rPr>
        <w:t>本项目专项债券分2期发行，拟发行专项债券4000.00万元，其中：2025年发行4000.00万元，期限15年；债券利率按3.6%测算，发行费为面值的1‰。</w:t>
      </w:r>
    </w:p>
    <w:p w14:paraId="176BF0DF">
      <w:pPr>
        <w:keepNext w:val="0"/>
        <w:keepLines w:val="0"/>
        <w:pageBreakBefore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方正仿宋_GBK" w:cs="Times New Roman"/>
          <w:b/>
          <w:bCs/>
          <w:sz w:val="32"/>
          <w:szCs w:val="32"/>
          <w:lang w:val="en-US" w:eastAsia="zh-CN"/>
        </w:rPr>
      </w:pPr>
      <w:r>
        <w:rPr>
          <w:rFonts w:hint="default" w:ascii="Times New Roman" w:hAnsi="Times New Roman" w:eastAsia="方正仿宋_GBK" w:cs="Times New Roman"/>
          <w:b/>
          <w:bCs/>
          <w:sz w:val="32"/>
          <w:szCs w:val="32"/>
          <w:lang w:val="en-US" w:eastAsia="zh-CN"/>
        </w:rPr>
        <w:t>2.项目资金平衡情况</w:t>
      </w:r>
      <w:bookmarkEnd w:id="107"/>
      <w:bookmarkEnd w:id="108"/>
      <w:bookmarkEnd w:id="109"/>
      <w:bookmarkEnd w:id="110"/>
    </w:p>
    <w:p w14:paraId="1F4C6347">
      <w:pPr>
        <w:keepNext w:val="0"/>
        <w:keepLines w:val="0"/>
        <w:pageBreakBefore w:val="0"/>
        <w:widowControl/>
        <w:suppressLineNumbers w:val="0"/>
        <w:kinsoku/>
        <w:wordWrap/>
        <w:overflowPunct/>
        <w:topLinePunct w:val="0"/>
        <w:autoSpaceDE/>
        <w:autoSpaceDN/>
        <w:bidi w:val="0"/>
        <w:adjustRightInd/>
        <w:snapToGrid/>
        <w:spacing w:afterAutospacing="0" w:line="560" w:lineRule="exact"/>
        <w:ind w:left="0" w:leftChars="0" w:firstLine="640" w:firstLineChars="200"/>
        <w:jc w:val="both"/>
        <w:textAlignment w:val="auto"/>
        <w:rPr>
          <w:rFonts w:hint="default" w:ascii="Times New Roman" w:hAnsi="Times New Roman" w:eastAsia="方正仿宋_GBK" w:cs="Times New Roman"/>
          <w:b w:val="0"/>
          <w:bCs w:val="0"/>
          <w:caps/>
          <w:kern w:val="2"/>
          <w:sz w:val="32"/>
          <w:szCs w:val="32"/>
          <w:lang w:val="en-US" w:eastAsia="zh-CN" w:bidi="ar-SA"/>
        </w:rPr>
        <w:sectPr>
          <w:footerReference r:id="rId3" w:type="default"/>
          <w:pgSz w:w="11906" w:h="16838"/>
          <w:pgMar w:top="2098" w:right="1474" w:bottom="1984" w:left="1587" w:header="851" w:footer="992" w:gutter="0"/>
          <w:pgNumType w:fmt="decimal" w:start="1"/>
          <w:cols w:space="425" w:num="1"/>
          <w:docGrid w:type="lines" w:linePitch="312" w:charSpace="0"/>
        </w:sectPr>
      </w:pPr>
      <w:r>
        <w:rPr>
          <w:rFonts w:hint="default" w:ascii="Times New Roman" w:hAnsi="Times New Roman" w:eastAsia="方正仿宋_GBK" w:cs="Times New Roman"/>
          <w:b w:val="0"/>
          <w:bCs w:val="0"/>
          <w:caps/>
          <w:kern w:val="2"/>
          <w:sz w:val="32"/>
          <w:szCs w:val="32"/>
          <w:lang w:val="en-US" w:eastAsia="zh-CN" w:bidi="ar-SA"/>
        </w:rPr>
        <w:t>本项目的债券偿还能力和自身平衡能力主要依靠项目运营期经营收入，项目具有较强的资金平衡能力。经测算，项目运营期总收入17398.65万元，项目运营成本共计9266.39万元，本项目产生的息前净现金净流量为10442.69万元。项目发行专项债券资金4000.00万元，期限15年，债券存续期间本息合计6160.00万元。预计项目收益对覆盖倍数为1.7倍。资金测算平衡情况具体见下表所示：</w:t>
      </w:r>
    </w:p>
    <w:p w14:paraId="503E92C4">
      <w:pPr>
        <w:pStyle w:val="7"/>
        <w:jc w:val="center"/>
        <w:outlineLvl w:val="9"/>
        <w:rPr>
          <w:rFonts w:hint="eastAsia" w:ascii="方正楷体_GBK" w:hAnsi="方正楷体_GBK" w:eastAsia="方正楷体_GBK" w:cs="方正楷体_GBK"/>
          <w:b/>
          <w:bCs/>
          <w:sz w:val="28"/>
          <w:szCs w:val="28"/>
          <w:lang w:val="en-US" w:eastAsia="zh-CN"/>
        </w:rPr>
      </w:pPr>
      <w:r>
        <w:rPr>
          <w:rFonts w:hint="eastAsia" w:ascii="方正楷体_GBK" w:hAnsi="方正楷体_GBK" w:eastAsia="方正楷体_GBK" w:cs="方正楷体_GBK"/>
          <w:b/>
          <w:bCs/>
          <w:sz w:val="28"/>
          <w:szCs w:val="28"/>
          <w:lang w:val="en-US" w:eastAsia="zh-CN"/>
        </w:rPr>
        <w:t>资金平衡测算表（</w:t>
      </w:r>
      <w:r>
        <w:rPr>
          <w:rFonts w:hint="eastAsia" w:ascii="方正楷体_GBK" w:hAnsi="方正楷体_GBK" w:eastAsia="方正楷体_GBK" w:cs="方正楷体_GBK"/>
          <w:b/>
          <w:bCs/>
          <w:caps w:val="0"/>
          <w:kern w:val="0"/>
          <w:sz w:val="28"/>
          <w:szCs w:val="28"/>
          <w:lang w:val="en-US" w:eastAsia="zh-CN" w:bidi="ar-SA"/>
        </w:rPr>
        <w:t>单位：万元）</w:t>
      </w:r>
    </w:p>
    <w:tbl>
      <w:tblPr>
        <w:tblStyle w:val="17"/>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6"/>
        <w:gridCol w:w="1774"/>
        <w:gridCol w:w="975"/>
        <w:gridCol w:w="809"/>
        <w:gridCol w:w="809"/>
        <w:gridCol w:w="809"/>
        <w:gridCol w:w="809"/>
        <w:gridCol w:w="809"/>
        <w:gridCol w:w="809"/>
        <w:gridCol w:w="809"/>
        <w:gridCol w:w="809"/>
        <w:gridCol w:w="809"/>
        <w:gridCol w:w="809"/>
        <w:gridCol w:w="809"/>
        <w:gridCol w:w="809"/>
        <w:gridCol w:w="809"/>
        <w:gridCol w:w="809"/>
        <w:gridCol w:w="850"/>
      </w:tblGrid>
      <w:tr w14:paraId="59211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8" w:hRule="atLeast"/>
        </w:trPr>
        <w:tc>
          <w:tcPr>
            <w:tcW w:w="220"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95E44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序号</w:t>
            </w:r>
          </w:p>
        </w:tc>
        <w:tc>
          <w:tcPr>
            <w:tcW w:w="568" w:type="pct"/>
            <w:vMerge w:val="restart"/>
            <w:tcBorders>
              <w:top w:val="single" w:color="000000" w:sz="4" w:space="0"/>
              <w:left w:val="single" w:color="000000" w:sz="4" w:space="0"/>
              <w:bottom w:val="single" w:color="000000" w:sz="4" w:space="0"/>
              <w:right w:val="single" w:color="000000" w:sz="4" w:space="0"/>
              <w:tl2br w:val="single" w:color="000000" w:sz="4" w:space="0"/>
            </w:tcBorders>
            <w:shd w:val="clear" w:color="auto" w:fill="FFFFFF"/>
            <w:vAlign w:val="center"/>
          </w:tcPr>
          <w:p w14:paraId="69F3B9D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年份</w:t>
            </w:r>
            <w:r>
              <w:rPr>
                <w:rFonts w:hint="default" w:ascii="Times New Roman" w:hAnsi="Times New Roman" w:eastAsia="楷体" w:cs="Times New Roman"/>
                <w:i w:val="0"/>
                <w:iCs w:val="0"/>
                <w:color w:val="000000"/>
                <w:kern w:val="0"/>
                <w:sz w:val="16"/>
                <w:szCs w:val="16"/>
                <w:u w:val="none"/>
                <w:lang w:val="en-US" w:eastAsia="zh-CN" w:bidi="ar"/>
              </w:rPr>
              <w:br w:type="textWrapping"/>
            </w:r>
            <w:r>
              <w:rPr>
                <w:rFonts w:hint="default" w:ascii="Times New Roman" w:hAnsi="Times New Roman" w:eastAsia="楷体" w:cs="Times New Roman"/>
                <w:i w:val="0"/>
                <w:iCs w:val="0"/>
                <w:color w:val="000000"/>
                <w:kern w:val="0"/>
                <w:sz w:val="16"/>
                <w:szCs w:val="16"/>
                <w:u w:val="none"/>
                <w:lang w:val="en-US" w:eastAsia="zh-CN" w:bidi="ar"/>
              </w:rPr>
              <w:t>项目</w:t>
            </w:r>
          </w:p>
        </w:tc>
        <w:tc>
          <w:tcPr>
            <w:tcW w:w="31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E77629C">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合计</w:t>
            </w:r>
          </w:p>
        </w:tc>
        <w:tc>
          <w:tcPr>
            <w:tcW w:w="259" w:type="pct"/>
            <w:tcBorders>
              <w:top w:val="single" w:color="000000" w:sz="4" w:space="0"/>
              <w:left w:val="single" w:color="000000" w:sz="4" w:space="0"/>
              <w:bottom w:val="single" w:color="000000" w:sz="4" w:space="0"/>
              <w:right w:val="nil"/>
            </w:tcBorders>
            <w:shd w:val="clear" w:color="auto" w:fill="FFFFFF"/>
            <w:vAlign w:val="center"/>
          </w:tcPr>
          <w:p w14:paraId="2EE47D0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建设期</w:t>
            </w:r>
          </w:p>
        </w:tc>
        <w:tc>
          <w:tcPr>
            <w:tcW w:w="3639" w:type="pct"/>
            <w:gridSpan w:val="1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406B8">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运营期</w:t>
            </w:r>
          </w:p>
        </w:tc>
      </w:tr>
      <w:tr w14:paraId="1B709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51FDAC">
            <w:pPr>
              <w:jc w:val="center"/>
              <w:rPr>
                <w:rFonts w:hint="default" w:ascii="Times New Roman" w:hAnsi="Times New Roman" w:eastAsia="楷体" w:cs="Times New Roman"/>
                <w:i w:val="0"/>
                <w:iCs w:val="0"/>
                <w:color w:val="000000"/>
                <w:sz w:val="16"/>
                <w:szCs w:val="16"/>
                <w:u w:val="none"/>
              </w:rPr>
            </w:pPr>
          </w:p>
        </w:tc>
        <w:tc>
          <w:tcPr>
            <w:tcW w:w="568" w:type="pct"/>
            <w:vMerge w:val="continue"/>
            <w:tcBorders>
              <w:top w:val="single" w:color="000000" w:sz="4" w:space="0"/>
              <w:left w:val="single" w:color="000000" w:sz="4" w:space="0"/>
              <w:bottom w:val="single" w:color="000000" w:sz="4" w:space="0"/>
              <w:right w:val="single" w:color="000000" w:sz="4" w:space="0"/>
              <w:tl2br w:val="single" w:color="000000" w:sz="4" w:space="0"/>
            </w:tcBorders>
            <w:shd w:val="clear" w:color="auto" w:fill="FFFFFF"/>
            <w:vAlign w:val="center"/>
          </w:tcPr>
          <w:p w14:paraId="39A0F8A2">
            <w:pPr>
              <w:jc w:val="center"/>
              <w:rPr>
                <w:rFonts w:hint="default" w:ascii="Times New Roman" w:hAnsi="Times New Roman" w:eastAsia="楷体" w:cs="Times New Roman"/>
                <w:i w:val="0"/>
                <w:iCs w:val="0"/>
                <w:color w:val="000000"/>
                <w:sz w:val="16"/>
                <w:szCs w:val="16"/>
                <w:u w:val="none"/>
              </w:rPr>
            </w:pPr>
          </w:p>
        </w:tc>
        <w:tc>
          <w:tcPr>
            <w:tcW w:w="31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BC641FB">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8E2E6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第1年</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6CCE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第2年</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238EC">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第3年</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16CC1">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第4年</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06615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第5年</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D9F2B8">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第6年</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55225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第7年</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9ED4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第8年</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33DAD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第9年</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AA32D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第10年</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3A8F05">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第11年</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83B2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第12年</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F0AAC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第13年</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5E61E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第14年</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2CFCC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第15年</w:t>
            </w:r>
          </w:p>
        </w:tc>
      </w:tr>
      <w:tr w14:paraId="35868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2B815">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01403">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经营活动净现金流量</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531BF">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10442.69</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B4661">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6747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477.15</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C5425">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516.52</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F0AB8">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555.88</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2B05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619.61</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2B2AC">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624.22</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90FE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803.45</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276F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829.37</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276E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829.37</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9EB9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829.37</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1AE1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859.05</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41C7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859.05</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9F13C">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859.05</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792C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890.30</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95891">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890.30</w:t>
            </w:r>
          </w:p>
        </w:tc>
      </w:tr>
      <w:tr w14:paraId="589DB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6BE6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1.1</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9941A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现金流入</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0D229">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17398.65</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61E8B">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68C3C">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745.82</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8690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801.49</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CF43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857.16</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B0BA8">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952.53</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3E12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1010.62</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EAEA8">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1362.98</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B57C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1410.71</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28595">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1410.71</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2CA7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1410.71</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7655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1464.56</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05675">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1464.56</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894C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1464.56</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1479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1521.11</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46124">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1521.11</w:t>
            </w:r>
          </w:p>
        </w:tc>
      </w:tr>
      <w:tr w14:paraId="19706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A794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1.1.1</w:t>
            </w:r>
          </w:p>
        </w:tc>
        <w:tc>
          <w:tcPr>
            <w:tcW w:w="56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B6DC6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经营收入</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8EE45">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17398.65</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810731">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574B6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745.82</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C7D63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801.49</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020AE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857.16</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3456B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952.53</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3E8714">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1010.62</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42C6A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1362.98</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BBD77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1410.71</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1AF675">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1410.71</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1EC82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1410.71</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80490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1464.56</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EDD5EC">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1464.56</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ECBB3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1464.56</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AC342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1521.11</w:t>
            </w:r>
          </w:p>
        </w:tc>
        <w:tc>
          <w:tcPr>
            <w:tcW w:w="2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A1212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1521.11</w:t>
            </w:r>
          </w:p>
        </w:tc>
      </w:tr>
      <w:tr w14:paraId="4183E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8574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1.2</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998D4">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现金流出</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04B8A">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6955.95</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66215">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5669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268.67</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30BA5">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284.97</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8A59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301.28</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B764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332.92</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7F94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386.40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EF82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559.53</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0E07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581.35</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76A3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581.35</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72B0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581.35</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B17F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605.51</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B8C6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605.51</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7636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605.51</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5AFE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630.80</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2D5E1">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630.80</w:t>
            </w:r>
          </w:p>
        </w:tc>
      </w:tr>
      <w:tr w14:paraId="7D2CC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70B4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1.2.1</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2512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经营成本</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0C9C1">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3511.71</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33E7F">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50B51">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213.04</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84A58">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216.22</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30C8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219.40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73215">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229.80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BDA0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233.12</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09015">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253.18</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1BD54">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261.00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1F0F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261.00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BEE2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261.00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2EDD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269.33</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86431">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269.33</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26BD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269.33</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5597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277.97</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40C1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277.97</w:t>
            </w:r>
          </w:p>
        </w:tc>
      </w:tr>
      <w:tr w14:paraId="6A7EB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4CA0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1.2.2</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93A4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税金及附加</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FE988">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1411.17</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8E86C">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192B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DA5B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98AE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3B11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3DF04">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48.62</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B51A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141.96</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FCD68">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147.30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74EC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147.30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CDA38">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147.30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E9FC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153.24</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7CCCC">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153.24</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1071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153.24</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AFED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159.48</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C195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159.48</w:t>
            </w:r>
          </w:p>
        </w:tc>
      </w:tr>
      <w:tr w14:paraId="51239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40B0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1.2.3</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9FDC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所得税</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07887">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2033.06</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7A01F">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B057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55.63</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AD91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68.76</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7439C">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81.88</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7CA0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103.12</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F800C">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104.66</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8A464">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164.40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95084">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173.04</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ADBF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173.04</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DF14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173.04</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691BC">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182.93</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90A9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182.93</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D5C5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182.93</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2192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193.35</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6877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193.35</w:t>
            </w:r>
          </w:p>
        </w:tc>
      </w:tr>
      <w:tr w14:paraId="38D8C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BFB3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419FC6">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投资活动净现金流量</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079AD">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-5000.00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6298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-5000.00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13372">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628F2">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64A8C">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A612A">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238B6">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692FE">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D017F">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C5C42">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7A681">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A9894">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23E82">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53E3E">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CAEE9">
            <w:pPr>
              <w:jc w:val="center"/>
              <w:rPr>
                <w:rFonts w:hint="default" w:ascii="Times New Roman" w:hAnsi="Times New Roman" w:eastAsia="楷体" w:cs="Times New Roman"/>
                <w:i w:val="0"/>
                <w:iCs w:val="0"/>
                <w:color w:val="000000"/>
                <w:sz w:val="16"/>
                <w:szCs w:val="16"/>
                <w:u w:val="none"/>
              </w:rPr>
            </w:pP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2D266">
            <w:pPr>
              <w:jc w:val="center"/>
              <w:rPr>
                <w:rFonts w:hint="default" w:ascii="Times New Roman" w:hAnsi="Times New Roman" w:eastAsia="楷体" w:cs="Times New Roman"/>
                <w:i w:val="0"/>
                <w:iCs w:val="0"/>
                <w:color w:val="000000"/>
                <w:sz w:val="16"/>
                <w:szCs w:val="16"/>
                <w:u w:val="none"/>
              </w:rPr>
            </w:pPr>
          </w:p>
        </w:tc>
      </w:tr>
      <w:tr w14:paraId="35DBA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E672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2.1</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8AC31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现金流入</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AC32A">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7DCE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D8D2E">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316B6E">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5B680">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FEE66">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042BC">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D67819">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3D112">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117DA">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D6994">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8BC378">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3911CA">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588A3">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FE825">
            <w:pPr>
              <w:jc w:val="center"/>
              <w:rPr>
                <w:rFonts w:hint="default" w:ascii="Times New Roman" w:hAnsi="Times New Roman" w:eastAsia="楷体" w:cs="Times New Roman"/>
                <w:i w:val="0"/>
                <w:iCs w:val="0"/>
                <w:color w:val="000000"/>
                <w:sz w:val="16"/>
                <w:szCs w:val="16"/>
                <w:u w:val="none"/>
              </w:rPr>
            </w:pP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B5F465">
            <w:pPr>
              <w:jc w:val="center"/>
              <w:rPr>
                <w:rFonts w:hint="default" w:ascii="Times New Roman" w:hAnsi="Times New Roman" w:eastAsia="楷体" w:cs="Times New Roman"/>
                <w:i w:val="0"/>
                <w:iCs w:val="0"/>
                <w:color w:val="000000"/>
                <w:sz w:val="16"/>
                <w:szCs w:val="16"/>
                <w:u w:val="none"/>
              </w:rPr>
            </w:pPr>
          </w:p>
        </w:tc>
      </w:tr>
      <w:tr w14:paraId="45E32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6921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2.2</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BF0E4">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现金流出</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AFE00">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5000.00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0392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5000.00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2B0D8">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9A345">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8CD08">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13074">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87AD1">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390DE">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99EAF">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217E9">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E3445">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82B09">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8E18E">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081DC">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2C8C6">
            <w:pPr>
              <w:jc w:val="center"/>
              <w:rPr>
                <w:rFonts w:hint="default" w:ascii="Times New Roman" w:hAnsi="Times New Roman" w:eastAsia="楷体" w:cs="Times New Roman"/>
                <w:i w:val="0"/>
                <w:iCs w:val="0"/>
                <w:color w:val="000000"/>
                <w:sz w:val="16"/>
                <w:szCs w:val="16"/>
                <w:u w:val="none"/>
              </w:rPr>
            </w:pP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0ADDE">
            <w:pPr>
              <w:jc w:val="center"/>
              <w:rPr>
                <w:rFonts w:hint="default" w:ascii="Times New Roman" w:hAnsi="Times New Roman" w:eastAsia="楷体" w:cs="Times New Roman"/>
                <w:i w:val="0"/>
                <w:iCs w:val="0"/>
                <w:color w:val="000000"/>
                <w:sz w:val="16"/>
                <w:szCs w:val="16"/>
                <w:u w:val="none"/>
              </w:rPr>
            </w:pPr>
          </w:p>
        </w:tc>
      </w:tr>
      <w:tr w14:paraId="4521C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CF3E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2.2.1</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0570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工程费用支付</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C2A30">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3829.41</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AF711">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3829.41</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913A6">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567CB">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5B3D2">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570C3">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D71FA">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26E34">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30080">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38CD7">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FF607">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93AF2">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65EBE">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3C8E8">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C751D">
            <w:pPr>
              <w:jc w:val="center"/>
              <w:rPr>
                <w:rFonts w:hint="default" w:ascii="Times New Roman" w:hAnsi="Times New Roman" w:eastAsia="楷体" w:cs="Times New Roman"/>
                <w:i w:val="0"/>
                <w:iCs w:val="0"/>
                <w:color w:val="000000"/>
                <w:sz w:val="16"/>
                <w:szCs w:val="16"/>
                <w:u w:val="none"/>
              </w:rPr>
            </w:pP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BE7BF">
            <w:pPr>
              <w:jc w:val="center"/>
              <w:rPr>
                <w:rFonts w:hint="default" w:ascii="Times New Roman" w:hAnsi="Times New Roman" w:eastAsia="楷体" w:cs="Times New Roman"/>
                <w:i w:val="0"/>
                <w:iCs w:val="0"/>
                <w:color w:val="000000"/>
                <w:sz w:val="16"/>
                <w:szCs w:val="16"/>
                <w:u w:val="none"/>
              </w:rPr>
            </w:pPr>
          </w:p>
        </w:tc>
      </w:tr>
      <w:tr w14:paraId="6FF5B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061A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2.2.2</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8C661">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工程其他费用</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AB4B7">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791.55</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9FCA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791.55</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09363">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7DF8E">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2CE0A">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C6B9B">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E7B62">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2A24C">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BF97A">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25894">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6EF5F">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2FBAD">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C1A53">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BCE35">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4B5DA">
            <w:pPr>
              <w:jc w:val="center"/>
              <w:rPr>
                <w:rFonts w:hint="default" w:ascii="Times New Roman" w:hAnsi="Times New Roman" w:eastAsia="楷体" w:cs="Times New Roman"/>
                <w:i w:val="0"/>
                <w:iCs w:val="0"/>
                <w:color w:val="000000"/>
                <w:sz w:val="16"/>
                <w:szCs w:val="16"/>
                <w:u w:val="none"/>
              </w:rPr>
            </w:pP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EB4AA">
            <w:pPr>
              <w:jc w:val="center"/>
              <w:rPr>
                <w:rFonts w:hint="default" w:ascii="Times New Roman" w:hAnsi="Times New Roman" w:eastAsia="楷体" w:cs="Times New Roman"/>
                <w:i w:val="0"/>
                <w:iCs w:val="0"/>
                <w:color w:val="000000"/>
                <w:sz w:val="16"/>
                <w:szCs w:val="16"/>
                <w:u w:val="none"/>
              </w:rPr>
            </w:pPr>
          </w:p>
        </w:tc>
      </w:tr>
      <w:tr w14:paraId="0963C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A7BB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2.2.3</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CB43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预备费</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0F46A">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231.05</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50F88">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231.05</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FEE68">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F796A">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EB870">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E0C62">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BD4A4">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0CFD9">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7C977">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9E22E">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9BFBE">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EFA6B">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BFDD6">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79687">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6C948">
            <w:pPr>
              <w:jc w:val="center"/>
              <w:rPr>
                <w:rFonts w:hint="default" w:ascii="Times New Roman" w:hAnsi="Times New Roman" w:eastAsia="楷体" w:cs="Times New Roman"/>
                <w:i w:val="0"/>
                <w:iCs w:val="0"/>
                <w:color w:val="000000"/>
                <w:sz w:val="16"/>
                <w:szCs w:val="16"/>
                <w:u w:val="none"/>
              </w:rPr>
            </w:pP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1CB9A">
            <w:pPr>
              <w:jc w:val="center"/>
              <w:rPr>
                <w:rFonts w:hint="default" w:ascii="Times New Roman" w:hAnsi="Times New Roman" w:eastAsia="楷体" w:cs="Times New Roman"/>
                <w:i w:val="0"/>
                <w:iCs w:val="0"/>
                <w:color w:val="000000"/>
                <w:sz w:val="16"/>
                <w:szCs w:val="16"/>
                <w:u w:val="none"/>
              </w:rPr>
            </w:pPr>
          </w:p>
        </w:tc>
      </w:tr>
      <w:tr w14:paraId="0C54C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10174">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2.2.4</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21EF3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建设期利息及偿还本金费</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DB2CE">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6160.00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B0261">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BAA6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F9E5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C120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960A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2F46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8D9C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DA4D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13F8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10E2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870F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1C2E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8E3C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C241C">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E4F5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4144.00</w:t>
            </w:r>
          </w:p>
        </w:tc>
      </w:tr>
      <w:tr w14:paraId="56106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61EC1">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2.2.5</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7B49C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债券发行费</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04977">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77E8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6FCE4">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E7B40">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05168">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081D6">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A01CA">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BF75D">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8C586">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CBA66">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D202E">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377C0">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F6C47">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B3F9F">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3D1E3">
            <w:pPr>
              <w:jc w:val="center"/>
              <w:rPr>
                <w:rFonts w:hint="default" w:ascii="Times New Roman" w:hAnsi="Times New Roman" w:eastAsia="楷体" w:cs="Times New Roman"/>
                <w:i w:val="0"/>
                <w:iCs w:val="0"/>
                <w:color w:val="000000"/>
                <w:sz w:val="16"/>
                <w:szCs w:val="16"/>
                <w:u w:val="none"/>
              </w:rPr>
            </w:pP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2DC4D">
            <w:pPr>
              <w:jc w:val="center"/>
              <w:rPr>
                <w:rFonts w:hint="default" w:ascii="Times New Roman" w:hAnsi="Times New Roman" w:eastAsia="楷体" w:cs="Times New Roman"/>
                <w:i w:val="0"/>
                <w:iCs w:val="0"/>
                <w:color w:val="000000"/>
                <w:sz w:val="16"/>
                <w:szCs w:val="16"/>
                <w:u w:val="none"/>
              </w:rPr>
            </w:pPr>
          </w:p>
        </w:tc>
      </w:tr>
      <w:tr w14:paraId="5B38F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B762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3</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EA39E">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筹资活动净现金流量</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6A1E6">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4856.00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756B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4856.00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1DA9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55CC1">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691C5">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D183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35CE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0053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F0565">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B935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D510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9AD1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D06C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5529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5D47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1BF1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-4144.00</w:t>
            </w:r>
          </w:p>
        </w:tc>
      </w:tr>
      <w:tr w14:paraId="58A7C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10FC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3.1</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F9C21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现金流入</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B7B69">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5000.00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7505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5000.00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0ED81">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2492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274C1">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5BA3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7C3A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F4E18">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9DEE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203B4">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ED04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687B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9A49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170B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C3B78">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26834">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r>
      <w:tr w14:paraId="4870C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0910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3.1.1</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112EC">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项目资本金投入</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31E92">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1000.00</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BC997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1000.00</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19F85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B526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A737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BD956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90C7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9498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03B6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55FA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3F945">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0A621">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D1C5A4">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B360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57E7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2E8BF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r>
      <w:tr w14:paraId="56E00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5B2B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3.1.1.1</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031E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企业自筹</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7BD23">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1000.00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B554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1000.00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3557C">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6EC34">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C71B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D9F3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1B2E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B9B14">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6D0E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DC07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7FB1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AE9F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877C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135B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75E9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1050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r>
      <w:tr w14:paraId="795FD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D3F3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3.1.2</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09E9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专项债券</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FB5CF">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4000.00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068F4">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4000.00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B51C1">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82278">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DD3F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F3CE8">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8DE2C">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6FC5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47FD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0590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8E16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257C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B9E4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92644">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98635">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DF98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r>
      <w:tr w14:paraId="3FE2B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4BD6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3.1.3</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0284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市场化融资资金</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C2EF0">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E249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3ADA5">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43F77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4FBA9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CB514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039D1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70479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F55504">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171B3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98BCF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AD1FA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CEA67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2F812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709AB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6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B41964">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r>
      <w:tr w14:paraId="29BF3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nil"/>
              <w:left w:val="single" w:color="000000" w:sz="4" w:space="0"/>
              <w:bottom w:val="single" w:color="000000" w:sz="4" w:space="0"/>
              <w:right w:val="single" w:color="000000" w:sz="4" w:space="0"/>
            </w:tcBorders>
            <w:shd w:val="clear" w:color="auto" w:fill="auto"/>
            <w:noWrap/>
            <w:vAlign w:val="center"/>
          </w:tcPr>
          <w:p w14:paraId="5A526C5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3.2</w:t>
            </w:r>
          </w:p>
        </w:tc>
        <w:tc>
          <w:tcPr>
            <w:tcW w:w="568" w:type="pct"/>
            <w:tcBorders>
              <w:top w:val="nil"/>
              <w:left w:val="single" w:color="000000" w:sz="4" w:space="0"/>
              <w:bottom w:val="single" w:color="000000" w:sz="4" w:space="0"/>
              <w:right w:val="single" w:color="000000" w:sz="4" w:space="0"/>
            </w:tcBorders>
            <w:shd w:val="clear" w:color="auto" w:fill="auto"/>
            <w:noWrap/>
            <w:vAlign w:val="center"/>
          </w:tcPr>
          <w:p w14:paraId="653F6FD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现金流出</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FCC7E">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6160.00</w:t>
            </w:r>
          </w:p>
        </w:tc>
        <w:tc>
          <w:tcPr>
            <w:tcW w:w="259" w:type="pct"/>
            <w:tcBorders>
              <w:top w:val="nil"/>
              <w:left w:val="single" w:color="000000" w:sz="4" w:space="0"/>
              <w:bottom w:val="single" w:color="000000" w:sz="4" w:space="0"/>
              <w:right w:val="single" w:color="000000" w:sz="4" w:space="0"/>
            </w:tcBorders>
            <w:shd w:val="clear" w:color="auto" w:fill="auto"/>
            <w:noWrap/>
            <w:vAlign w:val="center"/>
          </w:tcPr>
          <w:p w14:paraId="6241AB3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nil"/>
              <w:left w:val="single" w:color="000000" w:sz="4" w:space="0"/>
              <w:bottom w:val="single" w:color="000000" w:sz="4" w:space="0"/>
              <w:right w:val="single" w:color="000000" w:sz="4" w:space="0"/>
            </w:tcBorders>
            <w:shd w:val="clear" w:color="auto" w:fill="auto"/>
            <w:noWrap/>
            <w:vAlign w:val="center"/>
          </w:tcPr>
          <w:p w14:paraId="6A921E05">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nil"/>
              <w:left w:val="single" w:color="000000" w:sz="4" w:space="0"/>
              <w:bottom w:val="single" w:color="000000" w:sz="4" w:space="0"/>
              <w:right w:val="single" w:color="000000" w:sz="4" w:space="0"/>
            </w:tcBorders>
            <w:shd w:val="clear" w:color="auto" w:fill="auto"/>
            <w:noWrap/>
            <w:vAlign w:val="center"/>
          </w:tcPr>
          <w:p w14:paraId="1E0D6CD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nil"/>
              <w:left w:val="single" w:color="000000" w:sz="4" w:space="0"/>
              <w:bottom w:val="single" w:color="000000" w:sz="4" w:space="0"/>
              <w:right w:val="single" w:color="000000" w:sz="4" w:space="0"/>
            </w:tcBorders>
            <w:shd w:val="clear" w:color="auto" w:fill="auto"/>
            <w:noWrap/>
            <w:vAlign w:val="center"/>
          </w:tcPr>
          <w:p w14:paraId="0B50FFC4">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nil"/>
              <w:left w:val="single" w:color="000000" w:sz="4" w:space="0"/>
              <w:bottom w:val="single" w:color="000000" w:sz="4" w:space="0"/>
              <w:right w:val="single" w:color="000000" w:sz="4" w:space="0"/>
            </w:tcBorders>
            <w:shd w:val="clear" w:color="auto" w:fill="auto"/>
            <w:noWrap/>
            <w:vAlign w:val="center"/>
          </w:tcPr>
          <w:p w14:paraId="2468D945">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nil"/>
              <w:left w:val="single" w:color="000000" w:sz="4" w:space="0"/>
              <w:bottom w:val="single" w:color="000000" w:sz="4" w:space="0"/>
              <w:right w:val="single" w:color="000000" w:sz="4" w:space="0"/>
            </w:tcBorders>
            <w:shd w:val="clear" w:color="auto" w:fill="auto"/>
            <w:noWrap/>
            <w:vAlign w:val="center"/>
          </w:tcPr>
          <w:p w14:paraId="44E72D1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nil"/>
              <w:left w:val="single" w:color="000000" w:sz="4" w:space="0"/>
              <w:bottom w:val="single" w:color="000000" w:sz="4" w:space="0"/>
              <w:right w:val="single" w:color="000000" w:sz="4" w:space="0"/>
            </w:tcBorders>
            <w:shd w:val="clear" w:color="auto" w:fill="auto"/>
            <w:noWrap/>
            <w:vAlign w:val="center"/>
          </w:tcPr>
          <w:p w14:paraId="6EE60A2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nil"/>
              <w:left w:val="single" w:color="000000" w:sz="4" w:space="0"/>
              <w:bottom w:val="single" w:color="000000" w:sz="4" w:space="0"/>
              <w:right w:val="single" w:color="000000" w:sz="4" w:space="0"/>
            </w:tcBorders>
            <w:shd w:val="clear" w:color="auto" w:fill="auto"/>
            <w:noWrap/>
            <w:vAlign w:val="center"/>
          </w:tcPr>
          <w:p w14:paraId="1849D191">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nil"/>
              <w:left w:val="single" w:color="000000" w:sz="4" w:space="0"/>
              <w:bottom w:val="single" w:color="000000" w:sz="4" w:space="0"/>
              <w:right w:val="single" w:color="000000" w:sz="4" w:space="0"/>
            </w:tcBorders>
            <w:shd w:val="clear" w:color="auto" w:fill="auto"/>
            <w:noWrap/>
            <w:vAlign w:val="center"/>
          </w:tcPr>
          <w:p w14:paraId="4533F69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nil"/>
              <w:left w:val="single" w:color="000000" w:sz="4" w:space="0"/>
              <w:bottom w:val="single" w:color="000000" w:sz="4" w:space="0"/>
              <w:right w:val="single" w:color="000000" w:sz="4" w:space="0"/>
            </w:tcBorders>
            <w:shd w:val="clear" w:color="auto" w:fill="auto"/>
            <w:noWrap/>
            <w:vAlign w:val="center"/>
          </w:tcPr>
          <w:p w14:paraId="19BA543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nil"/>
              <w:left w:val="single" w:color="000000" w:sz="4" w:space="0"/>
              <w:bottom w:val="single" w:color="000000" w:sz="4" w:space="0"/>
              <w:right w:val="single" w:color="000000" w:sz="4" w:space="0"/>
            </w:tcBorders>
            <w:shd w:val="clear" w:color="auto" w:fill="auto"/>
            <w:noWrap/>
            <w:vAlign w:val="center"/>
          </w:tcPr>
          <w:p w14:paraId="7DAAAF9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nil"/>
              <w:left w:val="single" w:color="000000" w:sz="4" w:space="0"/>
              <w:bottom w:val="single" w:color="000000" w:sz="4" w:space="0"/>
              <w:right w:val="single" w:color="000000" w:sz="4" w:space="0"/>
            </w:tcBorders>
            <w:shd w:val="clear" w:color="auto" w:fill="auto"/>
            <w:noWrap/>
            <w:vAlign w:val="center"/>
          </w:tcPr>
          <w:p w14:paraId="31CF077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nil"/>
              <w:left w:val="single" w:color="000000" w:sz="4" w:space="0"/>
              <w:bottom w:val="single" w:color="000000" w:sz="4" w:space="0"/>
              <w:right w:val="single" w:color="000000" w:sz="4" w:space="0"/>
            </w:tcBorders>
            <w:shd w:val="clear" w:color="auto" w:fill="auto"/>
            <w:noWrap/>
            <w:vAlign w:val="center"/>
          </w:tcPr>
          <w:p w14:paraId="171A7A6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nil"/>
              <w:left w:val="single" w:color="000000" w:sz="4" w:space="0"/>
              <w:bottom w:val="single" w:color="000000" w:sz="4" w:space="0"/>
              <w:right w:val="single" w:color="000000" w:sz="4" w:space="0"/>
            </w:tcBorders>
            <w:shd w:val="clear" w:color="auto" w:fill="auto"/>
            <w:noWrap/>
            <w:vAlign w:val="center"/>
          </w:tcPr>
          <w:p w14:paraId="5B53C611">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62" w:type="pct"/>
            <w:tcBorders>
              <w:top w:val="nil"/>
              <w:left w:val="single" w:color="000000" w:sz="4" w:space="0"/>
              <w:bottom w:val="single" w:color="000000" w:sz="4" w:space="0"/>
              <w:right w:val="single" w:color="000000" w:sz="4" w:space="0"/>
            </w:tcBorders>
            <w:shd w:val="clear" w:color="auto" w:fill="auto"/>
            <w:noWrap/>
            <w:vAlign w:val="center"/>
          </w:tcPr>
          <w:p w14:paraId="53E3059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4144.00</w:t>
            </w:r>
          </w:p>
        </w:tc>
      </w:tr>
      <w:tr w14:paraId="245D4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6725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3.2.1</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21CA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债券利息支付</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09EEA">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2160.00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0E5E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AF06C">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EB9C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0372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14E6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5146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9E0C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6D88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F8CA5">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73EE8">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DD89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7FED8">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D3BD5">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3B22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57A6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144.00</w:t>
            </w:r>
          </w:p>
        </w:tc>
      </w:tr>
      <w:tr w14:paraId="7DF00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E7CD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3.2.2</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5AAA4">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偿还债券本金</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577EC">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4000.00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244D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DDAA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B17B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B16A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97F3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AA30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3C46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28AE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08A51">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C50E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08D9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CA98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B8925">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74CD1">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7FB0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4000.00</w:t>
            </w:r>
          </w:p>
        </w:tc>
      </w:tr>
      <w:tr w14:paraId="07CC9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1F78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3.2.3</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0E1C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偿还市场化融资本金</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7FBEE">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9267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723D8">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2047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B362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6C56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60ED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C8B4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FEF3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1801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353A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7514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2D1A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C3DE8">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1C9D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BC9A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r>
      <w:tr w14:paraId="321C1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DF4C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3.2.4</w:t>
            </w:r>
          </w:p>
        </w:tc>
        <w:tc>
          <w:tcPr>
            <w:tcW w:w="5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9B2BB4">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偿还市场化融资利息</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27902">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9AA6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50E1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9ABD8">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1C986">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D542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05991">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5A991">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AED5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9A11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EF15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ECCC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EBFF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C090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2FBD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5D39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0.00</w:t>
            </w:r>
          </w:p>
        </w:tc>
      </w:tr>
      <w:tr w14:paraId="4F7E9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76"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E186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4</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F76D8">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净现金流量</w:t>
            </w:r>
          </w:p>
        </w:tc>
        <w:tc>
          <w:tcPr>
            <w:tcW w:w="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8E51C">
            <w:pPr>
              <w:keepNext w:val="0"/>
              <w:keepLines w:val="0"/>
              <w:widowControl/>
              <w:suppressLineNumbers w:val="0"/>
              <w:jc w:val="center"/>
              <w:textAlignment w:val="center"/>
              <w:rPr>
                <w:rFonts w:hint="default" w:ascii="Times New Roman" w:hAnsi="Times New Roman" w:eastAsia="楷体" w:cs="Times New Roman"/>
                <w:b/>
                <w:bCs/>
                <w:i w:val="0"/>
                <w:iCs w:val="0"/>
                <w:color w:val="000000"/>
                <w:sz w:val="16"/>
                <w:szCs w:val="16"/>
                <w:u w:val="none"/>
              </w:rPr>
            </w:pPr>
            <w:r>
              <w:rPr>
                <w:rFonts w:hint="default" w:ascii="Times New Roman" w:hAnsi="Times New Roman" w:eastAsia="楷体" w:cs="Times New Roman"/>
                <w:b/>
                <w:bCs/>
                <w:i w:val="0"/>
                <w:iCs w:val="0"/>
                <w:color w:val="000000"/>
                <w:kern w:val="0"/>
                <w:sz w:val="16"/>
                <w:szCs w:val="16"/>
                <w:u w:val="none"/>
                <w:lang w:val="en-US" w:eastAsia="zh-CN" w:bidi="ar"/>
              </w:rPr>
              <w:t>4426.69</w:t>
            </w:r>
          </w:p>
        </w:tc>
        <w:tc>
          <w:tcPr>
            <w:tcW w:w="25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8F864D">
            <w:pPr>
              <w:keepNext w:val="0"/>
              <w:keepLines w:val="0"/>
              <w:widowControl/>
              <w:suppressLineNumbers w:val="0"/>
              <w:jc w:val="left"/>
              <w:textAlignment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A78FC">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333.15</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81C18">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372.52</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9F6C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411.88</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04C4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475.61</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F089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480.22</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68C6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659.45</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1AB6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685.37</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41BE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685.37</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06CC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685.37</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ACB05">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715.05</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5392F">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715.05</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EF0D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715.05</w:t>
            </w:r>
          </w:p>
        </w:tc>
        <w:tc>
          <w:tcPr>
            <w:tcW w:w="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1E941">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746.30</w:t>
            </w:r>
          </w:p>
        </w:tc>
        <w:tc>
          <w:tcPr>
            <w:tcW w:w="2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336B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-3253.70</w:t>
            </w:r>
          </w:p>
        </w:tc>
      </w:tr>
      <w:tr w14:paraId="1F243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2D5A7">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5</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36F6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累计净现金流量</w:t>
            </w:r>
          </w:p>
        </w:tc>
        <w:tc>
          <w:tcPr>
            <w:tcW w:w="31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0A6FE6">
            <w:pPr>
              <w:jc w:val="cente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nil"/>
              <w:right w:val="single" w:color="000000" w:sz="4" w:space="0"/>
            </w:tcBorders>
            <w:shd w:val="clear" w:color="auto" w:fill="FFFFFF"/>
            <w:vAlign w:val="center"/>
          </w:tcPr>
          <w:p w14:paraId="384B6B34">
            <w:pPr>
              <w:rPr>
                <w:rFonts w:hint="default" w:ascii="Times New Roman" w:hAnsi="Times New Roman" w:eastAsia="楷体" w:cs="Times New Roman"/>
                <w:i w:val="0"/>
                <w:iCs w:val="0"/>
                <w:color w:val="000000"/>
                <w:sz w:val="16"/>
                <w:szCs w:val="16"/>
                <w:u w:val="none"/>
              </w:rPr>
            </w:pPr>
          </w:p>
        </w:tc>
        <w:tc>
          <w:tcPr>
            <w:tcW w:w="259" w:type="pct"/>
            <w:tcBorders>
              <w:top w:val="single" w:color="000000" w:sz="4" w:space="0"/>
              <w:left w:val="single" w:color="000000" w:sz="4" w:space="0"/>
              <w:bottom w:val="nil"/>
              <w:right w:val="single" w:color="000000" w:sz="4" w:space="0"/>
            </w:tcBorders>
            <w:shd w:val="clear" w:color="auto" w:fill="auto"/>
            <w:noWrap/>
            <w:vAlign w:val="center"/>
          </w:tcPr>
          <w:p w14:paraId="684FDD13">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333.15</w:t>
            </w:r>
          </w:p>
        </w:tc>
        <w:tc>
          <w:tcPr>
            <w:tcW w:w="259" w:type="pct"/>
            <w:tcBorders>
              <w:top w:val="single" w:color="000000" w:sz="4" w:space="0"/>
              <w:left w:val="single" w:color="000000" w:sz="4" w:space="0"/>
              <w:bottom w:val="nil"/>
              <w:right w:val="single" w:color="000000" w:sz="4" w:space="0"/>
            </w:tcBorders>
            <w:shd w:val="clear" w:color="auto" w:fill="auto"/>
            <w:noWrap/>
            <w:vAlign w:val="center"/>
          </w:tcPr>
          <w:p w14:paraId="5BF3CDD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705.67</w:t>
            </w:r>
          </w:p>
        </w:tc>
        <w:tc>
          <w:tcPr>
            <w:tcW w:w="259" w:type="pct"/>
            <w:tcBorders>
              <w:top w:val="single" w:color="000000" w:sz="4" w:space="0"/>
              <w:left w:val="single" w:color="000000" w:sz="4" w:space="0"/>
              <w:bottom w:val="nil"/>
              <w:right w:val="single" w:color="000000" w:sz="4" w:space="0"/>
            </w:tcBorders>
            <w:shd w:val="clear" w:color="auto" w:fill="auto"/>
            <w:noWrap/>
            <w:vAlign w:val="center"/>
          </w:tcPr>
          <w:p w14:paraId="7E22F25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1117.55</w:t>
            </w:r>
          </w:p>
        </w:tc>
        <w:tc>
          <w:tcPr>
            <w:tcW w:w="259" w:type="pct"/>
            <w:tcBorders>
              <w:top w:val="single" w:color="000000" w:sz="4" w:space="0"/>
              <w:left w:val="single" w:color="000000" w:sz="4" w:space="0"/>
              <w:bottom w:val="nil"/>
              <w:right w:val="single" w:color="000000" w:sz="4" w:space="0"/>
            </w:tcBorders>
            <w:shd w:val="clear" w:color="auto" w:fill="auto"/>
            <w:noWrap/>
            <w:vAlign w:val="center"/>
          </w:tcPr>
          <w:p w14:paraId="15021FA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1593.16</w:t>
            </w:r>
          </w:p>
        </w:tc>
        <w:tc>
          <w:tcPr>
            <w:tcW w:w="259" w:type="pct"/>
            <w:tcBorders>
              <w:top w:val="single" w:color="000000" w:sz="4" w:space="0"/>
              <w:left w:val="single" w:color="000000" w:sz="4" w:space="0"/>
              <w:bottom w:val="nil"/>
              <w:right w:val="single" w:color="000000" w:sz="4" w:space="0"/>
            </w:tcBorders>
            <w:shd w:val="clear" w:color="auto" w:fill="auto"/>
            <w:noWrap/>
            <w:vAlign w:val="center"/>
          </w:tcPr>
          <w:p w14:paraId="406A6698">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2073.38</w:t>
            </w:r>
          </w:p>
        </w:tc>
        <w:tc>
          <w:tcPr>
            <w:tcW w:w="259" w:type="pct"/>
            <w:tcBorders>
              <w:top w:val="single" w:color="000000" w:sz="4" w:space="0"/>
              <w:left w:val="single" w:color="000000" w:sz="4" w:space="0"/>
              <w:bottom w:val="nil"/>
              <w:right w:val="single" w:color="000000" w:sz="4" w:space="0"/>
            </w:tcBorders>
            <w:shd w:val="clear" w:color="auto" w:fill="auto"/>
            <w:noWrap/>
            <w:vAlign w:val="center"/>
          </w:tcPr>
          <w:p w14:paraId="0D70F6F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2732.82</w:t>
            </w:r>
          </w:p>
        </w:tc>
        <w:tc>
          <w:tcPr>
            <w:tcW w:w="259" w:type="pct"/>
            <w:tcBorders>
              <w:top w:val="single" w:color="000000" w:sz="4" w:space="0"/>
              <w:left w:val="single" w:color="000000" w:sz="4" w:space="0"/>
              <w:bottom w:val="nil"/>
              <w:right w:val="single" w:color="000000" w:sz="4" w:space="0"/>
            </w:tcBorders>
            <w:shd w:val="clear" w:color="auto" w:fill="auto"/>
            <w:noWrap/>
            <w:vAlign w:val="center"/>
          </w:tcPr>
          <w:p w14:paraId="47EF8724">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3418.19</w:t>
            </w:r>
          </w:p>
        </w:tc>
        <w:tc>
          <w:tcPr>
            <w:tcW w:w="259" w:type="pct"/>
            <w:tcBorders>
              <w:top w:val="single" w:color="000000" w:sz="4" w:space="0"/>
              <w:left w:val="single" w:color="000000" w:sz="4" w:space="0"/>
              <w:bottom w:val="nil"/>
              <w:right w:val="single" w:color="000000" w:sz="4" w:space="0"/>
            </w:tcBorders>
            <w:shd w:val="clear" w:color="auto" w:fill="auto"/>
            <w:noWrap/>
            <w:vAlign w:val="center"/>
          </w:tcPr>
          <w:p w14:paraId="5D4AB5E0">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4103.56</w:t>
            </w:r>
          </w:p>
        </w:tc>
        <w:tc>
          <w:tcPr>
            <w:tcW w:w="259" w:type="pct"/>
            <w:tcBorders>
              <w:top w:val="single" w:color="000000" w:sz="4" w:space="0"/>
              <w:left w:val="single" w:color="000000" w:sz="4" w:space="0"/>
              <w:bottom w:val="nil"/>
              <w:right w:val="single" w:color="000000" w:sz="4" w:space="0"/>
            </w:tcBorders>
            <w:shd w:val="clear" w:color="auto" w:fill="auto"/>
            <w:noWrap/>
            <w:vAlign w:val="center"/>
          </w:tcPr>
          <w:p w14:paraId="071EFA1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4788.93</w:t>
            </w:r>
          </w:p>
        </w:tc>
        <w:tc>
          <w:tcPr>
            <w:tcW w:w="259" w:type="pct"/>
            <w:tcBorders>
              <w:top w:val="single" w:color="000000" w:sz="4" w:space="0"/>
              <w:left w:val="single" w:color="000000" w:sz="4" w:space="0"/>
              <w:bottom w:val="nil"/>
              <w:right w:val="single" w:color="000000" w:sz="4" w:space="0"/>
            </w:tcBorders>
            <w:shd w:val="clear" w:color="auto" w:fill="auto"/>
            <w:noWrap/>
            <w:vAlign w:val="center"/>
          </w:tcPr>
          <w:p w14:paraId="55044C32">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5503.98</w:t>
            </w:r>
          </w:p>
        </w:tc>
        <w:tc>
          <w:tcPr>
            <w:tcW w:w="259" w:type="pct"/>
            <w:tcBorders>
              <w:top w:val="single" w:color="000000" w:sz="4" w:space="0"/>
              <w:left w:val="single" w:color="000000" w:sz="4" w:space="0"/>
              <w:bottom w:val="nil"/>
              <w:right w:val="single" w:color="000000" w:sz="4" w:space="0"/>
            </w:tcBorders>
            <w:shd w:val="clear" w:color="auto" w:fill="auto"/>
            <w:noWrap/>
            <w:vAlign w:val="center"/>
          </w:tcPr>
          <w:p w14:paraId="4A11D73D">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6219.04</w:t>
            </w:r>
          </w:p>
        </w:tc>
        <w:tc>
          <w:tcPr>
            <w:tcW w:w="259" w:type="pct"/>
            <w:tcBorders>
              <w:top w:val="single" w:color="000000" w:sz="4" w:space="0"/>
              <w:left w:val="single" w:color="000000" w:sz="4" w:space="0"/>
              <w:bottom w:val="nil"/>
              <w:right w:val="single" w:color="000000" w:sz="4" w:space="0"/>
            </w:tcBorders>
            <w:shd w:val="clear" w:color="auto" w:fill="auto"/>
            <w:noWrap/>
            <w:vAlign w:val="center"/>
          </w:tcPr>
          <w:p w14:paraId="6A6AD45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6934.09</w:t>
            </w:r>
          </w:p>
        </w:tc>
        <w:tc>
          <w:tcPr>
            <w:tcW w:w="259" w:type="pct"/>
            <w:tcBorders>
              <w:top w:val="single" w:color="000000" w:sz="4" w:space="0"/>
              <w:left w:val="single" w:color="000000" w:sz="4" w:space="0"/>
              <w:bottom w:val="nil"/>
              <w:right w:val="single" w:color="000000" w:sz="4" w:space="0"/>
            </w:tcBorders>
            <w:shd w:val="clear" w:color="auto" w:fill="auto"/>
            <w:noWrap/>
            <w:vAlign w:val="center"/>
          </w:tcPr>
          <w:p w14:paraId="7F8967C9">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7680.39</w:t>
            </w:r>
          </w:p>
        </w:tc>
        <w:tc>
          <w:tcPr>
            <w:tcW w:w="262" w:type="pct"/>
            <w:tcBorders>
              <w:top w:val="single" w:color="000000" w:sz="4" w:space="0"/>
              <w:left w:val="single" w:color="000000" w:sz="4" w:space="0"/>
              <w:bottom w:val="nil"/>
              <w:right w:val="single" w:color="000000" w:sz="4" w:space="0"/>
            </w:tcBorders>
            <w:shd w:val="clear" w:color="auto" w:fill="auto"/>
            <w:noWrap/>
            <w:vAlign w:val="center"/>
          </w:tcPr>
          <w:p w14:paraId="14329D5A">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4426.69</w:t>
            </w:r>
          </w:p>
        </w:tc>
      </w:tr>
      <w:tr w14:paraId="6E638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106F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6</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5631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收益覆盖倍数</w:t>
            </w:r>
          </w:p>
        </w:tc>
        <w:tc>
          <w:tcPr>
            <w:tcW w:w="312" w:type="pct"/>
            <w:tcBorders>
              <w:top w:val="single" w:color="000000" w:sz="4" w:space="0"/>
              <w:left w:val="single" w:color="000000" w:sz="4" w:space="0"/>
              <w:bottom w:val="single" w:color="000000" w:sz="4" w:space="0"/>
              <w:right w:val="nil"/>
            </w:tcBorders>
            <w:shd w:val="clear" w:color="auto" w:fill="auto"/>
            <w:noWrap/>
            <w:vAlign w:val="center"/>
          </w:tcPr>
          <w:p w14:paraId="0A4473DC">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1.70</w:t>
            </w:r>
          </w:p>
        </w:tc>
        <w:tc>
          <w:tcPr>
            <w:tcW w:w="3898" w:type="pct"/>
            <w:gridSpan w:val="15"/>
            <w:tcBorders>
              <w:top w:val="single" w:color="000000" w:sz="4" w:space="0"/>
              <w:left w:val="single" w:color="000000" w:sz="4" w:space="0"/>
              <w:bottom w:val="single" w:color="000000" w:sz="4" w:space="0"/>
              <w:right w:val="nil"/>
            </w:tcBorders>
            <w:shd w:val="clear" w:color="auto" w:fill="auto"/>
            <w:noWrap/>
            <w:vAlign w:val="center"/>
          </w:tcPr>
          <w:p w14:paraId="2A03354C">
            <w:pPr>
              <w:jc w:val="center"/>
              <w:rPr>
                <w:rFonts w:hint="default" w:ascii="Times New Roman" w:hAnsi="Times New Roman" w:eastAsia="楷体" w:cs="Times New Roman"/>
                <w:i w:val="0"/>
                <w:iCs w:val="0"/>
                <w:color w:val="000000"/>
                <w:sz w:val="16"/>
                <w:szCs w:val="16"/>
                <w:u w:val="none"/>
              </w:rPr>
            </w:pPr>
          </w:p>
        </w:tc>
      </w:tr>
      <w:tr w14:paraId="00D5B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ABC8E">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7</w:t>
            </w:r>
          </w:p>
        </w:tc>
        <w:tc>
          <w:tcPr>
            <w:tcW w:w="5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9712B">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收入覆盖倍数</w:t>
            </w:r>
          </w:p>
        </w:tc>
        <w:tc>
          <w:tcPr>
            <w:tcW w:w="312" w:type="pct"/>
            <w:tcBorders>
              <w:top w:val="single" w:color="000000" w:sz="4" w:space="0"/>
              <w:left w:val="single" w:color="000000" w:sz="4" w:space="0"/>
              <w:bottom w:val="single" w:color="000000" w:sz="4" w:space="0"/>
              <w:right w:val="nil"/>
            </w:tcBorders>
            <w:shd w:val="clear" w:color="auto" w:fill="auto"/>
            <w:noWrap/>
            <w:vAlign w:val="center"/>
          </w:tcPr>
          <w:p w14:paraId="21089A2C">
            <w:pPr>
              <w:keepNext w:val="0"/>
              <w:keepLines w:val="0"/>
              <w:widowControl/>
              <w:suppressLineNumbers w:val="0"/>
              <w:jc w:val="center"/>
              <w:textAlignment w:val="center"/>
              <w:rPr>
                <w:rFonts w:hint="default" w:ascii="Times New Roman" w:hAnsi="Times New Roman" w:eastAsia="楷体" w:cs="Times New Roman"/>
                <w:i w:val="0"/>
                <w:iCs w:val="0"/>
                <w:color w:val="000000"/>
                <w:sz w:val="16"/>
                <w:szCs w:val="16"/>
                <w:u w:val="none"/>
              </w:rPr>
            </w:pPr>
            <w:r>
              <w:rPr>
                <w:rFonts w:hint="default" w:ascii="Times New Roman" w:hAnsi="Times New Roman" w:eastAsia="楷体" w:cs="Times New Roman"/>
                <w:i w:val="0"/>
                <w:iCs w:val="0"/>
                <w:color w:val="000000"/>
                <w:kern w:val="0"/>
                <w:sz w:val="16"/>
                <w:szCs w:val="16"/>
                <w:u w:val="none"/>
                <w:lang w:val="en-US" w:eastAsia="zh-CN" w:bidi="ar"/>
              </w:rPr>
              <w:t>2.82</w:t>
            </w:r>
          </w:p>
        </w:tc>
        <w:tc>
          <w:tcPr>
            <w:tcW w:w="3898" w:type="pct"/>
            <w:gridSpan w:val="15"/>
            <w:tcBorders>
              <w:top w:val="single" w:color="000000" w:sz="4" w:space="0"/>
              <w:left w:val="single" w:color="000000" w:sz="4" w:space="0"/>
              <w:bottom w:val="single" w:color="000000" w:sz="4" w:space="0"/>
              <w:right w:val="nil"/>
            </w:tcBorders>
            <w:shd w:val="clear" w:color="auto" w:fill="auto"/>
            <w:noWrap/>
            <w:vAlign w:val="center"/>
          </w:tcPr>
          <w:p w14:paraId="1B0CF7B5">
            <w:pPr>
              <w:jc w:val="center"/>
              <w:rPr>
                <w:rFonts w:hint="default" w:ascii="Times New Roman" w:hAnsi="Times New Roman" w:eastAsia="楷体" w:cs="Times New Roman"/>
                <w:i w:val="0"/>
                <w:iCs w:val="0"/>
                <w:color w:val="000000"/>
                <w:sz w:val="16"/>
                <w:szCs w:val="16"/>
                <w:u w:val="none"/>
              </w:rPr>
            </w:pPr>
          </w:p>
        </w:tc>
      </w:tr>
    </w:tbl>
    <w:p w14:paraId="49CF60D9">
      <w:pPr>
        <w:pStyle w:val="7"/>
        <w:jc w:val="center"/>
        <w:outlineLvl w:val="9"/>
        <w:rPr>
          <w:rFonts w:hint="default" w:ascii="Times New Roman" w:hAnsi="Times New Roman" w:eastAsia="仿宋" w:cs="Times New Roman"/>
          <w:b/>
          <w:bCs/>
          <w:sz w:val="24"/>
          <w:szCs w:val="24"/>
          <w:lang w:val="en-US" w:eastAsia="zh-CN"/>
        </w:rPr>
        <w:sectPr>
          <w:headerReference r:id="rId4" w:type="default"/>
          <w:footerReference r:id="rId5" w:type="default"/>
          <w:pgSz w:w="16838" w:h="11906" w:orient="landscape"/>
          <w:pgMar w:top="720" w:right="720" w:bottom="720" w:left="720" w:header="851" w:footer="992" w:gutter="0"/>
          <w:pgNumType w:fmt="decimal"/>
          <w:cols w:space="425" w:num="1"/>
          <w:docGrid w:type="lines" w:linePitch="312" w:charSpace="0"/>
        </w:sectPr>
      </w:pPr>
    </w:p>
    <w:p w14:paraId="394D2C5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3" w:firstLineChars="200"/>
        <w:jc w:val="both"/>
        <w:textAlignment w:val="auto"/>
        <w:outlineLvl w:val="0"/>
        <w:rPr>
          <w:rFonts w:hint="default" w:ascii="方正黑体_GBK" w:hAnsi="方正黑体_GBK" w:eastAsia="方正黑体_GBK" w:cs="方正黑体_GBK"/>
          <w:b/>
          <w:bCs/>
          <w:sz w:val="32"/>
          <w:szCs w:val="32"/>
          <w:lang w:val="en-US" w:eastAsia="zh-CN"/>
        </w:rPr>
      </w:pPr>
      <w:r>
        <w:rPr>
          <w:rFonts w:hint="default" w:ascii="方正黑体_GBK" w:hAnsi="方正黑体_GBK" w:eastAsia="方正黑体_GBK" w:cs="方正黑体_GBK"/>
          <w:b/>
          <w:bCs/>
          <w:sz w:val="32"/>
          <w:szCs w:val="32"/>
          <w:lang w:val="en-US" w:eastAsia="zh-CN"/>
        </w:rPr>
        <w:t>五、项目绩效目标</w:t>
      </w:r>
    </w:p>
    <w:p w14:paraId="1ACAEFD2">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outlineLvl w:val="9"/>
        <w:rPr>
          <w:rFonts w:hint="default" w:ascii="Times New Roman" w:hAnsi="Times New Roman" w:eastAsia="方正仿宋_GBK" w:cs="Times New Roman"/>
          <w:b/>
          <w:bCs/>
          <w:sz w:val="32"/>
          <w:szCs w:val="32"/>
          <w:lang w:val="en-US" w:eastAsia="zh-CN"/>
        </w:rPr>
      </w:pPr>
      <w:r>
        <w:rPr>
          <w:rFonts w:hint="default" w:ascii="Times New Roman" w:hAnsi="Times New Roman" w:eastAsia="方正仿宋_GBK" w:cs="Times New Roman"/>
          <w:b/>
          <w:bCs/>
          <w:sz w:val="32"/>
          <w:szCs w:val="32"/>
          <w:lang w:val="en-US" w:eastAsia="zh-CN"/>
        </w:rPr>
        <w:t>1</w:t>
      </w:r>
      <w:r>
        <w:rPr>
          <w:rFonts w:hint="eastAsia" w:ascii="Times New Roman" w:hAnsi="Times New Roman" w:eastAsia="方正仿宋_GBK" w:cs="Times New Roman"/>
          <w:b/>
          <w:bCs/>
          <w:sz w:val="32"/>
          <w:szCs w:val="32"/>
          <w:lang w:val="en-US" w:eastAsia="zh-CN"/>
        </w:rPr>
        <w:t>.</w:t>
      </w:r>
      <w:r>
        <w:rPr>
          <w:rFonts w:hint="default" w:ascii="Times New Roman" w:hAnsi="Times New Roman" w:eastAsia="方正仿宋_GBK" w:cs="Times New Roman"/>
          <w:b/>
          <w:bCs/>
          <w:sz w:val="32"/>
          <w:szCs w:val="32"/>
          <w:lang w:val="en-US" w:eastAsia="zh-CN"/>
        </w:rPr>
        <w:t>项目总体绩效目标</w:t>
      </w:r>
    </w:p>
    <w:p w14:paraId="17FD56F9">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目标1：改造度假区内游客集散中心建筑面积5000平方米、旅游厕所37处建筑面积共计2895.58平方米、停车场7处面积约55000平方米（拟安装充电桩140台）：更新标识标牌219处、数字化建设标识标牌4处，智慧化建设等。</w:t>
      </w:r>
    </w:p>
    <w:p w14:paraId="6988CEF0">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目标2：在2026年6月前完成项目竣工验收；</w:t>
      </w:r>
    </w:p>
    <w:p w14:paraId="422EFEA6">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目标3：债券存续期内实现年度收支平衡和总体收支平衡；</w:t>
      </w:r>
    </w:p>
    <w:p w14:paraId="65227640">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outlineLvl w:val="9"/>
        <w:rPr>
          <w:rFonts w:hint="default" w:ascii="Times New Roman" w:hAnsi="Times New Roman" w:eastAsia="方正仿宋_GBK" w:cs="Times New Roman"/>
          <w:b/>
          <w:bCs/>
          <w:sz w:val="32"/>
          <w:szCs w:val="32"/>
          <w:lang w:val="en-US" w:eastAsia="zh-CN"/>
        </w:rPr>
      </w:pPr>
      <w:r>
        <w:rPr>
          <w:rFonts w:hint="default" w:ascii="Times New Roman" w:hAnsi="Times New Roman" w:eastAsia="方正仿宋_GBK" w:cs="Times New Roman"/>
          <w:b/>
          <w:bCs/>
          <w:sz w:val="32"/>
          <w:szCs w:val="32"/>
          <w:lang w:val="en-US" w:eastAsia="zh-CN"/>
        </w:rPr>
        <w:t>2</w:t>
      </w:r>
      <w:r>
        <w:rPr>
          <w:rFonts w:hint="eastAsia" w:ascii="Times New Roman" w:hAnsi="Times New Roman" w:eastAsia="方正仿宋_GBK" w:cs="Times New Roman"/>
          <w:b/>
          <w:bCs/>
          <w:sz w:val="32"/>
          <w:szCs w:val="32"/>
          <w:lang w:val="en-US" w:eastAsia="zh-CN"/>
        </w:rPr>
        <w:t>.</w:t>
      </w:r>
      <w:r>
        <w:rPr>
          <w:rFonts w:hint="default" w:ascii="Times New Roman" w:hAnsi="Times New Roman" w:eastAsia="方正仿宋_GBK" w:cs="Times New Roman"/>
          <w:b/>
          <w:bCs/>
          <w:sz w:val="32"/>
          <w:szCs w:val="32"/>
          <w:lang w:val="en-US" w:eastAsia="zh-CN"/>
        </w:rPr>
        <w:t>2025年度目标</w:t>
      </w:r>
    </w:p>
    <w:p w14:paraId="58DEC30E">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目标1：改造游客集散中心建筑面积5000平方米；</w:t>
      </w:r>
    </w:p>
    <w:p w14:paraId="22112013">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目标2：建设停车场55000平方米；</w:t>
      </w:r>
    </w:p>
    <w:p w14:paraId="3105AF0B">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目标3：安装充电桩140台。</w:t>
      </w:r>
    </w:p>
    <w:p w14:paraId="534CF9C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3" w:firstLineChars="200"/>
        <w:jc w:val="both"/>
        <w:textAlignment w:val="auto"/>
        <w:outlineLvl w:val="0"/>
        <w:rPr>
          <w:rFonts w:hint="default" w:ascii="方正黑体_GBK" w:hAnsi="方正黑体_GBK" w:eastAsia="方正黑体_GBK" w:cs="方正黑体_GBK"/>
          <w:b/>
          <w:bCs/>
          <w:sz w:val="32"/>
          <w:szCs w:val="32"/>
          <w:lang w:val="en-US" w:eastAsia="zh-CN"/>
        </w:rPr>
      </w:pPr>
      <w:r>
        <w:rPr>
          <w:rFonts w:hint="default" w:ascii="方正黑体_GBK" w:hAnsi="方正黑体_GBK" w:eastAsia="方正黑体_GBK" w:cs="方正黑体_GBK"/>
          <w:b/>
          <w:bCs/>
          <w:sz w:val="32"/>
          <w:szCs w:val="32"/>
          <w:lang w:val="en-US" w:eastAsia="zh-CN"/>
        </w:rPr>
        <w:t>六、潜在影响项目的风险评估</w:t>
      </w:r>
    </w:p>
    <w:p w14:paraId="5BA81EF9">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outlineLvl w:val="9"/>
        <w:rPr>
          <w:rFonts w:hint="default" w:ascii="Times New Roman" w:hAnsi="Times New Roman" w:eastAsia="方正仿宋_GBK" w:cs="Times New Roman"/>
          <w:b/>
          <w:bCs/>
          <w:sz w:val="32"/>
          <w:szCs w:val="32"/>
          <w:lang w:val="en-US" w:eastAsia="zh-CN"/>
        </w:rPr>
      </w:pPr>
      <w:bookmarkStart w:id="111" w:name="_Toc522211123"/>
      <w:bookmarkStart w:id="112" w:name="_Toc15343"/>
      <w:r>
        <w:rPr>
          <w:rFonts w:hint="default" w:ascii="Times New Roman" w:hAnsi="Times New Roman" w:eastAsia="方正仿宋_GBK" w:cs="Times New Roman"/>
          <w:b/>
          <w:bCs/>
          <w:sz w:val="32"/>
          <w:szCs w:val="32"/>
          <w:lang w:val="en-US" w:eastAsia="zh-CN"/>
        </w:rPr>
        <w:t>1.经营风险</w:t>
      </w:r>
      <w:bookmarkEnd w:id="111"/>
      <w:bookmarkEnd w:id="112"/>
    </w:p>
    <w:p w14:paraId="4FE72723">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风险识别：经营风险是指生产经营的不确定性带来的风险。若项目投入运营后的收入未能达到预测值，将影响项目整体收益，对债券还本付息产生影响。</w:t>
      </w:r>
    </w:p>
    <w:p w14:paraId="6BC15BAC">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风险控制措施：要求项目管理单位密切关注价格的收取情况，根据实际调整运营成本及业务体系，保证还本付息资金。</w:t>
      </w:r>
      <w:bookmarkStart w:id="113" w:name="_Toc4440"/>
      <w:bookmarkStart w:id="114" w:name="_Toc522211124"/>
    </w:p>
    <w:p w14:paraId="38659BFB">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outlineLvl w:val="9"/>
        <w:rPr>
          <w:rFonts w:hint="default" w:ascii="Times New Roman" w:hAnsi="Times New Roman" w:eastAsia="方正仿宋_GBK" w:cs="Times New Roman"/>
          <w:b/>
          <w:bCs/>
          <w:sz w:val="32"/>
          <w:szCs w:val="32"/>
          <w:lang w:val="en-US" w:eastAsia="zh-CN"/>
        </w:rPr>
      </w:pPr>
      <w:r>
        <w:rPr>
          <w:rFonts w:hint="default" w:ascii="Times New Roman" w:hAnsi="Times New Roman" w:eastAsia="方正仿宋_GBK" w:cs="Times New Roman"/>
          <w:b/>
          <w:bCs/>
          <w:sz w:val="32"/>
          <w:szCs w:val="32"/>
          <w:lang w:val="en-US" w:eastAsia="zh-CN"/>
        </w:rPr>
        <w:t>2.市场风险</w:t>
      </w:r>
      <w:bookmarkEnd w:id="113"/>
      <w:bookmarkEnd w:id="114"/>
    </w:p>
    <w:p w14:paraId="5E59E40D">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风险识别：在专项债券存续期内，国际、国内宏观经济环境的变化，国家经济政策变动等因素会引起债务资本市场利率的波动，市场利率波动将会对本项目的财务成本产生一定影响，进而影响项目投资收益的平衡。</w:t>
      </w:r>
    </w:p>
    <w:p w14:paraId="3AA5E86F">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风险控制措施：要求项目单位合理安排债券发行金额和债券期限，做好债券的期限配比、还款计划和资金准备。</w:t>
      </w:r>
    </w:p>
    <w:p w14:paraId="38C2CC7D">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outlineLvl w:val="9"/>
        <w:rPr>
          <w:rFonts w:hint="default" w:ascii="Times New Roman" w:hAnsi="Times New Roman" w:eastAsia="方正仿宋_GBK" w:cs="Times New Roman"/>
          <w:b/>
          <w:bCs/>
          <w:sz w:val="32"/>
          <w:szCs w:val="32"/>
          <w:lang w:val="en-US" w:eastAsia="zh-CN"/>
        </w:rPr>
      </w:pPr>
      <w:bookmarkStart w:id="115" w:name="_Toc15747"/>
      <w:bookmarkStart w:id="116" w:name="_Toc522211125"/>
      <w:r>
        <w:rPr>
          <w:rFonts w:hint="default" w:ascii="Times New Roman" w:hAnsi="Times New Roman" w:eastAsia="方正仿宋_GBK" w:cs="Times New Roman"/>
          <w:b/>
          <w:bCs/>
          <w:sz w:val="32"/>
          <w:szCs w:val="32"/>
          <w:lang w:val="en-US" w:eastAsia="zh-CN"/>
        </w:rPr>
        <w:t>3.财务风险</w:t>
      </w:r>
      <w:bookmarkEnd w:id="115"/>
      <w:bookmarkEnd w:id="116"/>
    </w:p>
    <w:p w14:paraId="0AAD47C8">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风险识别：由于项目建设周期较长，如果在项目建设过程中，受市场因素影响，项目施工所需的原材料价格上涨，将导致项目施工成本增加，财务负担加重，进而影响项目建设进度，以及项目建设期内专项债券的利息兑付，因此面临一定财务风险。</w:t>
      </w:r>
    </w:p>
    <w:p w14:paraId="714A990E">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风险控制措施：项目可行性研究报告编制过程中，在测算项目总投资时已考虑相关风险。同时，在项目建设过程中，加强项目施工预算管理、招标及合同管理，尽可能控制建设成本。</w:t>
      </w:r>
    </w:p>
    <w:p w14:paraId="581224F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3" w:firstLineChars="200"/>
        <w:jc w:val="both"/>
        <w:textAlignment w:val="auto"/>
        <w:outlineLvl w:val="0"/>
        <w:rPr>
          <w:rFonts w:hint="default" w:ascii="方正黑体_GBK" w:hAnsi="方正黑体_GBK" w:eastAsia="方正黑体_GBK" w:cs="方正黑体_GBK"/>
          <w:b/>
          <w:bCs/>
          <w:sz w:val="32"/>
          <w:szCs w:val="32"/>
          <w:lang w:val="en-US" w:eastAsia="zh-CN"/>
        </w:rPr>
      </w:pPr>
      <w:r>
        <w:rPr>
          <w:rFonts w:hint="default" w:ascii="方正黑体_GBK" w:hAnsi="方正黑体_GBK" w:eastAsia="方正黑体_GBK" w:cs="方正黑体_GBK"/>
          <w:b/>
          <w:bCs/>
          <w:sz w:val="32"/>
          <w:szCs w:val="32"/>
          <w:lang w:val="en-US" w:eastAsia="zh-CN"/>
        </w:rPr>
        <w:t>七、还款保障情况</w:t>
      </w:r>
    </w:p>
    <w:p w14:paraId="61EA2F30">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outlineLvl w:val="9"/>
        <w:rPr>
          <w:rFonts w:hint="default" w:ascii="Times New Roman" w:hAnsi="Times New Roman" w:eastAsia="仿宋" w:cs="Times New Roman"/>
          <w:sz w:val="32"/>
          <w:szCs w:val="32"/>
        </w:rPr>
      </w:pPr>
      <w:r>
        <w:rPr>
          <w:rFonts w:hint="default" w:ascii="Times New Roman" w:hAnsi="Times New Roman" w:eastAsia="方正仿宋_GBK" w:cs="Times New Roman"/>
          <w:sz w:val="32"/>
          <w:szCs w:val="32"/>
          <w:lang w:val="en-US" w:eastAsia="zh-CN"/>
        </w:rPr>
        <w:t>按照《国务院办公厅关于印发地方政府性债务风险应急处置预案的通知》（国办函〔2016〕88号）、《财政部关于印发&lt;地方政府专项债务预算管理办法&gt;的通知》（财预〔2016〕155号）规定，及时按照转贷协议约定逐级向省财政缴纳本级应当承担的专项债还本付息资金，由省财政按照合同约定及时偿还专项债券到期本息。如专项债偿债出现困难，将通过调减投资计划、处置可变现资产、调整预算支出结构等方式筹集资金偿还债务。未按时足额向省财政缴纳专项债券还本付息资金的，省财政采取适当方式扣回。</w:t>
      </w:r>
    </w:p>
    <w:p w14:paraId="7056FCB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3" w:firstLineChars="200"/>
        <w:jc w:val="both"/>
        <w:textAlignment w:val="auto"/>
        <w:outlineLvl w:val="0"/>
        <w:rPr>
          <w:rFonts w:hint="default" w:ascii="方正黑体_GBK" w:hAnsi="方正黑体_GBK" w:eastAsia="方正黑体_GBK" w:cs="方正黑体_GBK"/>
          <w:b/>
          <w:bCs/>
          <w:sz w:val="32"/>
          <w:szCs w:val="32"/>
          <w:lang w:val="en-US" w:eastAsia="zh-CN"/>
        </w:rPr>
      </w:pPr>
      <w:r>
        <w:rPr>
          <w:rFonts w:hint="default" w:ascii="方正黑体_GBK" w:hAnsi="方正黑体_GBK" w:eastAsia="方正黑体_GBK" w:cs="方正黑体_GBK"/>
          <w:b/>
          <w:bCs/>
          <w:sz w:val="32"/>
          <w:szCs w:val="32"/>
          <w:lang w:val="en-US" w:eastAsia="zh-CN"/>
        </w:rPr>
        <w:t>八、主管部门和项目单位职责</w:t>
      </w:r>
    </w:p>
    <w:p w14:paraId="0E9C878E">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default" w:ascii="Times New Roman" w:hAnsi="Times New Roman" w:eastAsia="方正仿宋_GBK" w:cs="Times New Roman"/>
          <w:b/>
          <w:bCs/>
          <w:sz w:val="32"/>
          <w:szCs w:val="32"/>
          <w:u w:val="none"/>
          <w:lang w:val="en-US" w:eastAsia="zh-CN"/>
        </w:rPr>
      </w:pPr>
      <w:r>
        <w:rPr>
          <w:rFonts w:hint="default" w:ascii="Times New Roman" w:hAnsi="Times New Roman" w:eastAsia="方正仿宋_GBK" w:cs="Times New Roman"/>
          <w:b/>
          <w:bCs/>
          <w:sz w:val="32"/>
          <w:szCs w:val="32"/>
          <w:u w:val="none"/>
          <w:lang w:val="en-US" w:eastAsia="zh-CN"/>
        </w:rPr>
        <w:t>1.项目主管部门：米易县文化广播电视和旅游局</w:t>
      </w:r>
    </w:p>
    <w:p w14:paraId="125870E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方正仿宋_GBK" w:cs="Times New Roman"/>
          <w:b w:val="0"/>
          <w:bCs w:val="0"/>
          <w:sz w:val="32"/>
          <w:szCs w:val="32"/>
          <w:u w:val="none"/>
          <w:lang w:val="en-US" w:eastAsia="zh-CN"/>
        </w:rPr>
      </w:pPr>
      <w:r>
        <w:rPr>
          <w:rFonts w:hint="default" w:ascii="Times New Roman" w:hAnsi="Times New Roman" w:eastAsia="方正仿宋_GBK" w:cs="Times New Roman"/>
          <w:b w:val="0"/>
          <w:bCs w:val="0"/>
          <w:sz w:val="32"/>
          <w:szCs w:val="32"/>
          <w:u w:val="none"/>
          <w:lang w:val="en-US" w:eastAsia="zh-CN"/>
        </w:rPr>
        <w:t>主要职责包括：严格按照基本建设程序建设项目，监督施工方严格按照施工规范施工，确保项目施工安全、项目建设质量、项目工期，切实加强项目建设、运营管理，确保项目收益覆盖债券本息。</w:t>
      </w:r>
    </w:p>
    <w:p w14:paraId="4523CAC6">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default" w:ascii="Times New Roman" w:hAnsi="Times New Roman" w:eastAsia="方正仿宋_GBK" w:cs="Times New Roman"/>
          <w:b/>
          <w:bCs/>
          <w:sz w:val="32"/>
          <w:szCs w:val="32"/>
          <w:u w:val="none"/>
          <w:lang w:val="en-US" w:eastAsia="zh-CN"/>
        </w:rPr>
      </w:pPr>
      <w:r>
        <w:rPr>
          <w:rFonts w:hint="default" w:ascii="Times New Roman" w:hAnsi="Times New Roman" w:eastAsia="方正仿宋_GBK" w:cs="Times New Roman"/>
          <w:b/>
          <w:bCs/>
          <w:sz w:val="32"/>
          <w:szCs w:val="32"/>
          <w:u w:val="none"/>
          <w:lang w:val="en-US" w:eastAsia="zh-CN"/>
        </w:rPr>
        <w:t>2.项目资金主管部门：米易县财政局</w:t>
      </w:r>
    </w:p>
    <w:p w14:paraId="76ED8A1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方正仿宋_GBK" w:cs="Times New Roman"/>
          <w:b w:val="0"/>
          <w:bCs w:val="0"/>
          <w:sz w:val="32"/>
          <w:szCs w:val="32"/>
          <w:u w:val="none"/>
          <w:lang w:val="en-US" w:eastAsia="zh-CN"/>
        </w:rPr>
      </w:pPr>
      <w:r>
        <w:rPr>
          <w:rFonts w:hint="default" w:ascii="Times New Roman" w:hAnsi="Times New Roman" w:eastAsia="方正仿宋_GBK" w:cs="Times New Roman"/>
          <w:b w:val="0"/>
          <w:bCs w:val="0"/>
          <w:sz w:val="32"/>
          <w:szCs w:val="32"/>
          <w:u w:val="none"/>
          <w:lang w:val="en-US" w:eastAsia="zh-CN"/>
        </w:rPr>
        <w:t>主要职责包括：（1）配合落实项目配套资金、专项债券资金；（2）监督项目资金的实际使用情况及对本期债券本息的按期偿付情况。</w:t>
      </w:r>
    </w:p>
    <w:p w14:paraId="39A72B2B">
      <w:pPr>
        <w:keepNext w:val="0"/>
        <w:keepLines w:val="0"/>
        <w:pageBreakBefore w:val="0"/>
        <w:widowControl w:val="0"/>
        <w:kinsoku/>
        <w:wordWrap/>
        <w:overflowPunct/>
        <w:topLinePunct w:val="0"/>
        <w:autoSpaceDE/>
        <w:autoSpaceDN/>
        <w:bidi w:val="0"/>
        <w:adjustRightInd/>
        <w:snapToGrid/>
        <w:spacing w:line="240" w:lineRule="auto"/>
        <w:ind w:firstLine="643" w:firstLineChars="200"/>
        <w:jc w:val="both"/>
        <w:textAlignment w:val="auto"/>
        <w:outlineLvl w:val="9"/>
        <w:rPr>
          <w:rFonts w:hint="default" w:ascii="Times New Roman" w:hAnsi="Times New Roman" w:eastAsia="方正仿宋_GBK" w:cs="Times New Roman"/>
          <w:b/>
          <w:bCs/>
          <w:sz w:val="32"/>
          <w:szCs w:val="32"/>
          <w:u w:val="none"/>
          <w:lang w:val="en-US" w:eastAsia="zh-CN"/>
        </w:rPr>
      </w:pPr>
      <w:r>
        <w:rPr>
          <w:rFonts w:hint="default" w:ascii="Times New Roman" w:hAnsi="Times New Roman" w:eastAsia="方正仿宋_GBK" w:cs="Times New Roman"/>
          <w:b/>
          <w:bCs/>
          <w:sz w:val="32"/>
          <w:szCs w:val="32"/>
          <w:u w:val="none"/>
          <w:lang w:val="en-US" w:eastAsia="zh-CN"/>
        </w:rPr>
        <w:t>3.项目业主单位：米易县文化广播电视和旅游局</w:t>
      </w:r>
    </w:p>
    <w:p w14:paraId="243B88E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9"/>
        <w:rPr>
          <w:rFonts w:hint="default" w:ascii="Times New Roman" w:hAnsi="Times New Roman" w:eastAsia="方正仿宋_GBK" w:cs="Times New Roman"/>
          <w:b w:val="0"/>
          <w:bCs w:val="0"/>
          <w:sz w:val="32"/>
          <w:szCs w:val="32"/>
          <w:u w:val="none"/>
          <w:lang w:val="en-US" w:eastAsia="zh-CN"/>
        </w:rPr>
      </w:pPr>
      <w:r>
        <w:rPr>
          <w:rFonts w:hint="default" w:ascii="Times New Roman" w:hAnsi="Times New Roman" w:eastAsia="方正仿宋_GBK" w:cs="Times New Roman"/>
          <w:b w:val="0"/>
          <w:bCs w:val="0"/>
          <w:sz w:val="32"/>
          <w:szCs w:val="32"/>
          <w:u w:val="none"/>
          <w:lang w:val="en-US" w:eastAsia="zh-CN"/>
        </w:rPr>
        <w:t>主要职责包括：（1）根据项目实施计划开展相关工作；（2）保证项目资金的使用与项目实施进度相匹配；（3）定期向行业主管部门、实施机构及项目资金主管部门汇报项目实施进度及项目资金使用情况。</w:t>
      </w:r>
    </w:p>
    <w:p w14:paraId="5592191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3" w:firstLineChars="200"/>
        <w:jc w:val="both"/>
        <w:textAlignment w:val="auto"/>
        <w:outlineLvl w:val="0"/>
        <w:rPr>
          <w:rFonts w:hint="default" w:ascii="方正黑体_GBK" w:hAnsi="方正黑体_GBK" w:eastAsia="方正黑体_GBK" w:cs="方正黑体_GBK"/>
          <w:b/>
          <w:bCs/>
          <w:sz w:val="32"/>
          <w:szCs w:val="32"/>
          <w:lang w:val="en-US" w:eastAsia="zh-CN"/>
        </w:rPr>
      </w:pPr>
      <w:r>
        <w:rPr>
          <w:rFonts w:hint="default" w:ascii="方正黑体_GBK" w:hAnsi="方正黑体_GBK" w:eastAsia="方正黑体_GBK" w:cs="方正黑体_GBK"/>
          <w:b/>
          <w:bCs/>
          <w:sz w:val="32"/>
          <w:szCs w:val="32"/>
          <w:lang w:val="en-US" w:eastAsia="zh-CN"/>
        </w:rPr>
        <w:t>九、补充说明</w:t>
      </w:r>
    </w:p>
    <w:p w14:paraId="2E00414D">
      <w:pPr>
        <w:pStyle w:val="7"/>
        <w:keepNext w:val="0"/>
        <w:keepLines w:val="0"/>
        <w:pageBreakBefore w:val="0"/>
        <w:widowControl w:val="0"/>
        <w:kinsoku/>
        <w:wordWrap/>
        <w:overflowPunct/>
        <w:topLinePunct w:val="0"/>
        <w:autoSpaceDE w:val="0"/>
        <w:autoSpaceDN w:val="0"/>
        <w:bidi w:val="0"/>
        <w:adjustRightInd/>
        <w:snapToGrid/>
        <w:spacing w:before="0" w:after="0" w:line="240" w:lineRule="auto"/>
        <w:ind w:left="0" w:right="0" w:firstLine="601"/>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此项目债券资金总需求4000.00万元，根据地方政府债务限额管理要求和项目实施进展情况，2025年7月已发行2900.00万元。本次拟继续发行1100.00万元，期限15年。该项目实施内容及收益来源未发生变动，在不超过项目债券总需求情况下，债券分批次发行对项目整体融资平衡不构成实质影响。</w:t>
      </w:r>
    </w:p>
    <w:sectPr>
      <w:headerReference r:id="rId6" w:type="default"/>
      <w:pgSz w:w="11906" w:h="16838"/>
      <w:pgMar w:top="1644" w:right="2098" w:bottom="1417"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LF_Kai">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Univers 45 Light">
    <w:altName w:val="Courier New"/>
    <w:panose1 w:val="00000000000000000000"/>
    <w:charset w:val="00"/>
    <w:family w:val="swiss"/>
    <w:pitch w:val="default"/>
    <w:sig w:usb0="00000000" w:usb1="00000000" w:usb2="00000000" w:usb3="00000000" w:csb0="00000001"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E2A693">
    <w:pPr>
      <w:pStyle w:val="13"/>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FA2E38">
                          <w:pPr>
                            <w:pStyle w:val="1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6FA2E38">
                    <w:pPr>
                      <w:pStyle w:val="13"/>
                      <w:rPr>
                        <w:rFonts w:ascii="宋体" w:hAnsi="宋体" w:eastAsia="宋体"/>
                        <w:sz w:val="28"/>
                      </w:rPr>
                    </w:pPr>
                    <w:r>
                      <w:rPr>
                        <w:rFonts w:ascii="宋体" w:hAnsi="宋体" w:eastAsia="宋体"/>
                        <w:sz w:val="28"/>
                      </w:rPr>
                      <w:t>—</w:t>
                    </w:r>
                    <w:r>
                      <w:rPr>
                        <w:rFonts w:ascii="宋体" w:hAnsi="宋体" w:eastAsia="宋体"/>
                        <w:sz w:val="24"/>
                      </w:rPr>
                      <w:t>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w:t>
                    </w:r>
                    <w:r>
                      <w:rPr>
                        <w:rFonts w:ascii="宋体" w:hAnsi="宋体" w:eastAsia="宋体"/>
                        <w:sz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0DA49E">
    <w:pPr>
      <w:pStyle w:val="13"/>
      <w:ind w:firstLine="360"/>
      <w:jc w:val="center"/>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398D78">
                          <w:pPr>
                            <w:pStyle w:val="13"/>
                            <w:rPr>
                              <w:rFonts w:hint="eastAsia" w:ascii="宋体" w:hAnsi="宋体" w:eastAsia="宋体"/>
                              <w:sz w:val="28"/>
                              <w:lang w:eastAsia="zh-CN"/>
                            </w:rPr>
                          </w:pPr>
                          <w:r>
                            <w:rPr>
                              <w:rFonts w:hint="eastAsia" w:ascii="宋体" w:hAnsi="宋体" w:eastAsia="宋体"/>
                              <w:sz w:val="28"/>
                              <w:szCs w:val="28"/>
                              <w:lang w:eastAsia="zh-CN"/>
                            </w:rPr>
                            <w:t>—　</w:t>
                          </w:r>
                          <w:r>
                            <w:rPr>
                              <w:rFonts w:hint="eastAsia" w:ascii="宋体" w:hAnsi="宋体" w:eastAsia="宋体"/>
                              <w:sz w:val="28"/>
                              <w:szCs w:val="28"/>
                              <w:lang w:eastAsia="zh-CN"/>
                            </w:rPr>
                            <w:fldChar w:fldCharType="begin"/>
                          </w:r>
                          <w:r>
                            <w:rPr>
                              <w:rFonts w:hint="eastAsia" w:ascii="宋体" w:hAnsi="宋体" w:eastAsia="宋体"/>
                              <w:sz w:val="28"/>
                              <w:szCs w:val="28"/>
                              <w:lang w:eastAsia="zh-CN"/>
                            </w:rPr>
                            <w:instrText xml:space="preserve"> PAGE  \* MERGEFORMAT </w:instrText>
                          </w:r>
                          <w:r>
                            <w:rPr>
                              <w:rFonts w:hint="eastAsia" w:ascii="宋体" w:hAnsi="宋体" w:eastAsia="宋体"/>
                              <w:sz w:val="28"/>
                              <w:szCs w:val="28"/>
                              <w:lang w:eastAsia="zh-CN"/>
                            </w:rPr>
                            <w:fldChar w:fldCharType="separate"/>
                          </w:r>
                          <w:r>
                            <w:rPr>
                              <w:rFonts w:hint="eastAsia" w:ascii="宋体" w:hAnsi="宋体" w:eastAsia="宋体"/>
                              <w:sz w:val="28"/>
                              <w:szCs w:val="28"/>
                              <w:lang w:eastAsia="zh-CN"/>
                            </w:rPr>
                            <w:t>23</w:t>
                          </w:r>
                          <w:r>
                            <w:rPr>
                              <w:rFonts w:hint="eastAsia" w:ascii="宋体" w:hAnsi="宋体" w:eastAsia="宋体"/>
                              <w:sz w:val="28"/>
                              <w:szCs w:val="28"/>
                              <w:lang w:eastAsia="zh-CN"/>
                            </w:rPr>
                            <w:fldChar w:fldCharType="end"/>
                          </w:r>
                          <w:r>
                            <w:rPr>
                              <w:rFonts w:hint="eastAsia" w:ascii="宋体" w:hAnsi="宋体" w:eastAsia="宋体"/>
                              <w:sz w:val="28"/>
                              <w:szCs w:val="28"/>
                              <w:lang w:eastAsia="zh-CN"/>
                            </w:rPr>
                            <w:t>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03398D78">
                    <w:pPr>
                      <w:pStyle w:val="13"/>
                      <w:rPr>
                        <w:rFonts w:hint="eastAsia" w:ascii="宋体" w:hAnsi="宋体" w:eastAsia="宋体"/>
                        <w:sz w:val="28"/>
                        <w:lang w:eastAsia="zh-CN"/>
                      </w:rPr>
                    </w:pPr>
                    <w:r>
                      <w:rPr>
                        <w:rFonts w:hint="eastAsia" w:ascii="宋体" w:hAnsi="宋体" w:eastAsia="宋体"/>
                        <w:sz w:val="28"/>
                        <w:szCs w:val="28"/>
                        <w:lang w:eastAsia="zh-CN"/>
                      </w:rPr>
                      <w:t>—　</w:t>
                    </w:r>
                    <w:r>
                      <w:rPr>
                        <w:rFonts w:hint="eastAsia" w:ascii="宋体" w:hAnsi="宋体" w:eastAsia="宋体"/>
                        <w:sz w:val="28"/>
                        <w:szCs w:val="28"/>
                        <w:lang w:eastAsia="zh-CN"/>
                      </w:rPr>
                      <w:fldChar w:fldCharType="begin"/>
                    </w:r>
                    <w:r>
                      <w:rPr>
                        <w:rFonts w:hint="eastAsia" w:ascii="宋体" w:hAnsi="宋体" w:eastAsia="宋体"/>
                        <w:sz w:val="28"/>
                        <w:szCs w:val="28"/>
                        <w:lang w:eastAsia="zh-CN"/>
                      </w:rPr>
                      <w:instrText xml:space="preserve"> PAGE  \* MERGEFORMAT </w:instrText>
                    </w:r>
                    <w:r>
                      <w:rPr>
                        <w:rFonts w:hint="eastAsia" w:ascii="宋体" w:hAnsi="宋体" w:eastAsia="宋体"/>
                        <w:sz w:val="28"/>
                        <w:szCs w:val="28"/>
                        <w:lang w:eastAsia="zh-CN"/>
                      </w:rPr>
                      <w:fldChar w:fldCharType="separate"/>
                    </w:r>
                    <w:r>
                      <w:rPr>
                        <w:rFonts w:hint="eastAsia" w:ascii="宋体" w:hAnsi="宋体" w:eastAsia="宋体"/>
                        <w:sz w:val="28"/>
                        <w:szCs w:val="28"/>
                        <w:lang w:eastAsia="zh-CN"/>
                      </w:rPr>
                      <w:t>23</w:t>
                    </w:r>
                    <w:r>
                      <w:rPr>
                        <w:rFonts w:hint="eastAsia" w:ascii="宋体" w:hAnsi="宋体" w:eastAsia="宋体"/>
                        <w:sz w:val="28"/>
                        <w:szCs w:val="28"/>
                        <w:lang w:eastAsia="zh-CN"/>
                      </w:rPr>
                      <w:fldChar w:fldCharType="end"/>
                    </w:r>
                    <w:r>
                      <w:rPr>
                        <w:rFonts w:hint="eastAsia" w:ascii="宋体" w:hAnsi="宋体" w:eastAsia="宋体"/>
                        <w:sz w:val="28"/>
                        <w:szCs w:val="28"/>
                        <w:lang w:eastAsia="zh-CN"/>
                      </w:rPr>
                      <w:t>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5CAABA">
    <w:pPr>
      <w:pStyle w:val="14"/>
      <w:pBdr>
        <w:bottom w:val="none" w:color="auto" w:sz="0" w:space="0"/>
      </w:pBdr>
      <w:tabs>
        <w:tab w:val="center" w:pos="4150"/>
        <w:tab w:val="right" w:pos="8300"/>
        <w:tab w:val="clear" w:pos="4153"/>
        <w:tab w:val="clear" w:pos="8306"/>
      </w:tabs>
      <w:spacing w:line="240" w:lineRule="auto"/>
      <w:ind w:firstLine="0" w:firstLineChars="0"/>
    </w:pPr>
  </w:p>
  <w:p w14:paraId="603562BA">
    <w:pPr>
      <w:spacing w:line="240" w:lineRule="auto"/>
      <w:ind w:firstLine="0" w:firstLineChars="0"/>
      <w:rPr>
        <w:rFonts w:hint="eastAsia"/>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02D4D">
    <w:pPr>
      <w:pStyle w:val="14"/>
      <w:pBdr>
        <w:bottom w:val="none" w:color="auto" w:sz="0" w:space="1"/>
      </w:pBdr>
      <w:rPr>
        <w:rFonts w:hint="eastAsia" w:eastAsia="宋体"/>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FAEDB3"/>
    <w:multiLevelType w:val="singleLevel"/>
    <w:tmpl w:val="A9FAEDB3"/>
    <w:lvl w:ilvl="0" w:tentative="0">
      <w:start w:val="1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kMzU5NjJlYTNiZWUwMmNhMmJmNDU2NzQ1ZDcwMGQifQ=="/>
  </w:docVars>
  <w:rsids>
    <w:rsidRoot w:val="3FA016BB"/>
    <w:rsid w:val="016478F4"/>
    <w:rsid w:val="017F0FBA"/>
    <w:rsid w:val="027C16B8"/>
    <w:rsid w:val="05692F8B"/>
    <w:rsid w:val="089B260D"/>
    <w:rsid w:val="08B46C87"/>
    <w:rsid w:val="08BD33F4"/>
    <w:rsid w:val="093E2451"/>
    <w:rsid w:val="09550CC1"/>
    <w:rsid w:val="0A391D9C"/>
    <w:rsid w:val="0A9E1C56"/>
    <w:rsid w:val="0B0B6C01"/>
    <w:rsid w:val="0D03664E"/>
    <w:rsid w:val="0D140625"/>
    <w:rsid w:val="1193257A"/>
    <w:rsid w:val="133129AC"/>
    <w:rsid w:val="13385F37"/>
    <w:rsid w:val="13426006"/>
    <w:rsid w:val="138A41C1"/>
    <w:rsid w:val="15273705"/>
    <w:rsid w:val="16BE3AB0"/>
    <w:rsid w:val="1825554A"/>
    <w:rsid w:val="19524380"/>
    <w:rsid w:val="195B607F"/>
    <w:rsid w:val="1A89451A"/>
    <w:rsid w:val="1DCB6589"/>
    <w:rsid w:val="1F7252E7"/>
    <w:rsid w:val="201F4B71"/>
    <w:rsid w:val="21997D01"/>
    <w:rsid w:val="221819BC"/>
    <w:rsid w:val="257E1526"/>
    <w:rsid w:val="265170F2"/>
    <w:rsid w:val="280F4559"/>
    <w:rsid w:val="2AE6556B"/>
    <w:rsid w:val="2C772424"/>
    <w:rsid w:val="2D7F180A"/>
    <w:rsid w:val="30704865"/>
    <w:rsid w:val="31651C7A"/>
    <w:rsid w:val="348A1163"/>
    <w:rsid w:val="375548D2"/>
    <w:rsid w:val="37CB3985"/>
    <w:rsid w:val="385173CD"/>
    <w:rsid w:val="39AB14DF"/>
    <w:rsid w:val="3C0F1844"/>
    <w:rsid w:val="3F9B958F"/>
    <w:rsid w:val="3FA016BB"/>
    <w:rsid w:val="3FBF3121"/>
    <w:rsid w:val="3FE947AA"/>
    <w:rsid w:val="428065A3"/>
    <w:rsid w:val="42E85458"/>
    <w:rsid w:val="44BE48B6"/>
    <w:rsid w:val="45F33215"/>
    <w:rsid w:val="46585B96"/>
    <w:rsid w:val="46FF7BD5"/>
    <w:rsid w:val="49551DD4"/>
    <w:rsid w:val="4AFE23CE"/>
    <w:rsid w:val="4BA91FD8"/>
    <w:rsid w:val="4C383D20"/>
    <w:rsid w:val="4D9F7B9D"/>
    <w:rsid w:val="4FE54DD3"/>
    <w:rsid w:val="515E42D3"/>
    <w:rsid w:val="52900446"/>
    <w:rsid w:val="54C24411"/>
    <w:rsid w:val="56AC797B"/>
    <w:rsid w:val="5CE65A6B"/>
    <w:rsid w:val="5DEF17A5"/>
    <w:rsid w:val="612B4E50"/>
    <w:rsid w:val="621951BC"/>
    <w:rsid w:val="62D90A3C"/>
    <w:rsid w:val="635B2E37"/>
    <w:rsid w:val="651C2EE6"/>
    <w:rsid w:val="667A754C"/>
    <w:rsid w:val="679A19BD"/>
    <w:rsid w:val="68496314"/>
    <w:rsid w:val="695A26B0"/>
    <w:rsid w:val="698750D7"/>
    <w:rsid w:val="6ACA28B9"/>
    <w:rsid w:val="6AEB7832"/>
    <w:rsid w:val="6B2E643B"/>
    <w:rsid w:val="6C2C198C"/>
    <w:rsid w:val="716442CB"/>
    <w:rsid w:val="718860E6"/>
    <w:rsid w:val="72375930"/>
    <w:rsid w:val="72A65155"/>
    <w:rsid w:val="742B3769"/>
    <w:rsid w:val="751B32D7"/>
    <w:rsid w:val="77090774"/>
    <w:rsid w:val="7A883FAE"/>
    <w:rsid w:val="7FED6C75"/>
    <w:rsid w:val="AB172679"/>
    <w:rsid w:val="FFBBD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9"/>
    <w:pPr>
      <w:keepNext/>
      <w:keepLines/>
      <w:spacing w:before="120" w:after="120"/>
      <w:outlineLvl w:val="1"/>
    </w:pPr>
    <w:rPr>
      <w:rFonts w:eastAsia="楷体" w:asciiTheme="minorAscii" w:hAnsiTheme="minorAscii" w:cstheme="minorBidi"/>
      <w:color w:val="000000" w:themeColor="text1"/>
      <w:szCs w:val="26"/>
      <w:lang w:eastAsia="ja-JP"/>
      <w14:textFill>
        <w14:solidFill>
          <w14:schemeClr w14:val="tx1"/>
        </w14:solidFill>
      </w14:textFill>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2" w:lineRule="auto"/>
      <w:outlineLvl w:val="3"/>
    </w:pPr>
    <w:rPr>
      <w:rFonts w:ascii="Arial" w:hAnsi="Arial" w:eastAsia="黑体"/>
      <w:b/>
      <w:sz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仿宋_GB2312"/>
      <w:szCs w:val="21"/>
    </w:rPr>
  </w:style>
  <w:style w:type="paragraph" w:styleId="6">
    <w:name w:val="Normal Indent"/>
    <w:basedOn w:val="1"/>
    <w:qFormat/>
    <w:uiPriority w:val="0"/>
    <w:pPr>
      <w:autoSpaceDE/>
      <w:autoSpaceDN/>
      <w:adjustRightInd/>
      <w:spacing w:before="20" w:beforeLines="20" w:after="20" w:afterLines="20"/>
      <w:ind w:firstLine="540"/>
      <w:jc w:val="both"/>
    </w:pPr>
    <w:rPr>
      <w:rFonts w:eastAsia="宋体"/>
      <w:kern w:val="2"/>
    </w:rPr>
  </w:style>
  <w:style w:type="paragraph" w:styleId="7">
    <w:name w:val="Body Text"/>
    <w:basedOn w:val="1"/>
    <w:next w:val="8"/>
    <w:qFormat/>
    <w:uiPriority w:val="0"/>
    <w:pPr>
      <w:widowControl/>
      <w:adjustRightInd w:val="0"/>
      <w:snapToGrid w:val="0"/>
      <w:spacing w:before="150" w:after="150" w:line="264" w:lineRule="auto"/>
      <w:ind w:firstLine="567"/>
    </w:pPr>
    <w:rPr>
      <w:rFonts w:ascii="华文楷体" w:hAnsi="华文楷体" w:eastAsia="LF_Kai"/>
      <w:kern w:val="0"/>
      <w:sz w:val="24"/>
      <w:szCs w:val="20"/>
      <w:lang w:val="en-GB"/>
    </w:rPr>
  </w:style>
  <w:style w:type="paragraph" w:styleId="8">
    <w:name w:val="Body Text First Indent"/>
    <w:basedOn w:val="7"/>
    <w:next w:val="7"/>
    <w:qFormat/>
    <w:uiPriority w:val="0"/>
    <w:pPr>
      <w:autoSpaceDE/>
      <w:autoSpaceDN/>
      <w:adjustRightInd/>
      <w:spacing w:after="120"/>
      <w:ind w:firstLine="420" w:firstLineChars="100"/>
      <w:jc w:val="both"/>
    </w:pPr>
    <w:rPr>
      <w:kern w:val="2"/>
      <w:sz w:val="21"/>
    </w:rPr>
  </w:style>
  <w:style w:type="paragraph" w:styleId="9">
    <w:name w:val="Body Text Indent"/>
    <w:basedOn w:val="1"/>
    <w:next w:val="10"/>
    <w:unhideWhenUsed/>
    <w:qFormat/>
    <w:uiPriority w:val="99"/>
    <w:pPr>
      <w:spacing w:after="120"/>
      <w:ind w:left="420" w:leftChars="200"/>
    </w:pPr>
  </w:style>
  <w:style w:type="paragraph" w:customStyle="1" w:styleId="10">
    <w:name w:val="正文文字 6"/>
    <w:next w:val="1"/>
    <w:qFormat/>
    <w:uiPriority w:val="0"/>
    <w:pPr>
      <w:widowControl w:val="0"/>
      <w:ind w:left="240"/>
      <w:jc w:val="both"/>
    </w:pPr>
    <w:rPr>
      <w:rFonts w:ascii="宋体" w:hAnsi="Times New Roman" w:eastAsia="宋体" w:cs="Times New Roman"/>
      <w:b/>
      <w:bCs/>
      <w:kern w:val="2"/>
      <w:sz w:val="32"/>
      <w:szCs w:val="32"/>
      <w:lang w:val="en-US" w:eastAsia="zh-CN" w:bidi="ar-SA"/>
    </w:rPr>
  </w:style>
  <w:style w:type="paragraph" w:styleId="11">
    <w:name w:val="Block Text"/>
    <w:basedOn w:val="1"/>
    <w:qFormat/>
    <w:uiPriority w:val="99"/>
    <w:pPr>
      <w:spacing w:line="300" w:lineRule="exact"/>
      <w:ind w:left="-105" w:leftChars="-50" w:right="-105" w:rightChars="-50"/>
      <w:jc w:val="center"/>
    </w:pPr>
    <w:rPr>
      <w:rFonts w:ascii="宋体" w:hAnsi="宋体"/>
      <w:sz w:val="18"/>
      <w:szCs w:val="20"/>
    </w:rPr>
  </w:style>
  <w:style w:type="paragraph" w:styleId="12">
    <w:name w:val="Body Text Indent 2"/>
    <w:basedOn w:val="1"/>
    <w:qFormat/>
    <w:uiPriority w:val="0"/>
    <w:pPr>
      <w:spacing w:after="120" w:line="480" w:lineRule="auto"/>
      <w:ind w:left="420" w:leftChars="200"/>
    </w:pPr>
    <w:rPr>
      <w:sz w:val="21"/>
      <w:szCs w:val="24"/>
    </w:rPr>
  </w:style>
  <w:style w:type="paragraph" w:styleId="13">
    <w:name w:val="footer"/>
    <w:basedOn w:val="1"/>
    <w:unhideWhenUsed/>
    <w:qFormat/>
    <w:uiPriority w:val="99"/>
    <w:pPr>
      <w:tabs>
        <w:tab w:val="center" w:pos="4153"/>
        <w:tab w:val="right" w:pos="8306"/>
      </w:tabs>
      <w:snapToGrid w:val="0"/>
    </w:pPr>
    <w:rPr>
      <w:sz w:val="18"/>
      <w:szCs w:val="18"/>
    </w:rPr>
  </w:style>
  <w:style w:type="paragraph" w:styleId="1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pPr>
      <w:adjustRightInd w:val="0"/>
      <w:snapToGrid w:val="0"/>
      <w:spacing w:before="120" w:after="120"/>
      <w:jc w:val="left"/>
    </w:pPr>
    <w:rPr>
      <w:rFonts w:ascii="Calibri" w:hAnsi="Calibri" w:eastAsia="仿宋_GB2312" w:cs="Calibri"/>
      <w:b/>
      <w:bCs/>
      <w:caps/>
      <w:sz w:val="28"/>
      <w:szCs w:val="28"/>
    </w:rPr>
  </w:style>
  <w:style w:type="paragraph" w:styleId="16">
    <w:name w:val="Body Text First Indent 2"/>
    <w:basedOn w:val="9"/>
    <w:next w:val="8"/>
    <w:qFormat/>
    <w:uiPriority w:val="0"/>
    <w:pPr>
      <w:ind w:firstLine="420" w:firstLineChars="200"/>
    </w:pPr>
  </w:style>
  <w:style w:type="character" w:styleId="19">
    <w:name w:val="Emphasis"/>
    <w:basedOn w:val="18"/>
    <w:qFormat/>
    <w:uiPriority w:val="20"/>
    <w:rPr>
      <w:i/>
    </w:rPr>
  </w:style>
  <w:style w:type="paragraph" w:customStyle="1" w:styleId="20">
    <w:name w:val="（仿宋）正文"/>
    <w:basedOn w:val="1"/>
    <w:qFormat/>
    <w:uiPriority w:val="0"/>
    <w:pPr>
      <w:wordWrap w:val="0"/>
      <w:snapToGrid w:val="0"/>
      <w:spacing w:line="360" w:lineRule="auto"/>
      <w:ind w:firstLine="200" w:firstLineChars="200"/>
      <w:jc w:val="left"/>
    </w:pPr>
    <w:rPr>
      <w:rFonts w:ascii="Times New Roman" w:hAnsi="Times New Roman" w:eastAsia="仿宋" w:cs="Times New Roman"/>
      <w:snapToGrid w:val="0"/>
      <w:kern w:val="0"/>
      <w:sz w:val="28"/>
      <w:szCs w:val="28"/>
    </w:rPr>
  </w:style>
  <w:style w:type="paragraph" w:customStyle="1" w:styleId="21">
    <w:name w:val="表格2"/>
    <w:basedOn w:val="11"/>
    <w:qFormat/>
    <w:uiPriority w:val="0"/>
    <w:pPr>
      <w:spacing w:line="240" w:lineRule="exact"/>
      <w:ind w:left="0" w:leftChars="0" w:right="0" w:rightChars="0" w:firstLine="0" w:firstLineChars="0"/>
    </w:pPr>
    <w:rPr>
      <w:rFonts w:ascii="Times New Roman" w:hAnsi="Times New Roman" w:cs="Times New Roman"/>
      <w:sz w:val="22"/>
      <w:szCs w:val="20"/>
    </w:rPr>
  </w:style>
  <w:style w:type="paragraph" w:customStyle="1" w:styleId="22">
    <w:name w:val="样式8"/>
    <w:basedOn w:val="1"/>
    <w:link w:val="27"/>
    <w:qFormat/>
    <w:uiPriority w:val="0"/>
    <w:pPr>
      <w:spacing w:line="360" w:lineRule="auto"/>
      <w:ind w:firstLine="720" w:firstLineChars="200"/>
      <w:jc w:val="both"/>
    </w:pPr>
    <w:rPr>
      <w:rFonts w:ascii="Times New Roman" w:hAnsi="Times New Roman" w:eastAsia="仿宋"/>
      <w:sz w:val="28"/>
      <w:szCs w:val="24"/>
    </w:rPr>
  </w:style>
  <w:style w:type="paragraph" w:customStyle="1" w:styleId="23">
    <w:name w:val="表格222"/>
    <w:basedOn w:val="15"/>
    <w:qFormat/>
    <w:uiPriority w:val="0"/>
    <w:pPr>
      <w:spacing w:line="240" w:lineRule="exact"/>
      <w:jc w:val="center"/>
    </w:pPr>
    <w:rPr>
      <w:rFonts w:ascii="Times New Roman" w:hAnsi="Times New Roman" w:eastAsia="仿宋" w:cs="Calibri"/>
      <w:sz w:val="22"/>
    </w:rPr>
  </w:style>
  <w:style w:type="paragraph" w:customStyle="1" w:styleId="24">
    <w:name w:val="Default"/>
    <w:qFormat/>
    <w:uiPriority w:val="0"/>
    <w:pPr>
      <w:widowControl w:val="0"/>
      <w:autoSpaceDE w:val="0"/>
      <w:autoSpaceDN w:val="0"/>
      <w:adjustRightInd w:val="0"/>
    </w:pPr>
    <w:rPr>
      <w:rFonts w:ascii="Univers 45 Light" w:hAnsi="Times New Roman" w:eastAsia="Univers 45 Light" w:cs="Univers 45 Light"/>
      <w:color w:val="000000"/>
      <w:sz w:val="24"/>
      <w:szCs w:val="24"/>
      <w:lang w:val="en-US" w:eastAsia="zh-CN" w:bidi="ar-SA"/>
    </w:rPr>
  </w:style>
  <w:style w:type="character" w:customStyle="1" w:styleId="25">
    <w:name w:val="font21"/>
    <w:basedOn w:val="18"/>
    <w:qFormat/>
    <w:uiPriority w:val="0"/>
    <w:rPr>
      <w:rFonts w:hint="default" w:ascii="Times New Roman" w:hAnsi="Times New Roman" w:cs="Times New Roman"/>
      <w:color w:val="000000"/>
      <w:sz w:val="28"/>
      <w:szCs w:val="28"/>
      <w:u w:val="none"/>
    </w:rPr>
  </w:style>
  <w:style w:type="character" w:customStyle="1" w:styleId="26">
    <w:name w:val="font31"/>
    <w:basedOn w:val="18"/>
    <w:qFormat/>
    <w:uiPriority w:val="0"/>
    <w:rPr>
      <w:rFonts w:hint="eastAsia" w:ascii="宋体" w:hAnsi="宋体" w:eastAsia="宋体" w:cs="宋体"/>
      <w:color w:val="000000"/>
      <w:sz w:val="20"/>
      <w:szCs w:val="20"/>
      <w:u w:val="none"/>
    </w:rPr>
  </w:style>
  <w:style w:type="character" w:customStyle="1" w:styleId="27">
    <w:name w:val="样式8 Char1"/>
    <w:link w:val="22"/>
    <w:qFormat/>
    <w:uiPriority w:val="0"/>
    <w:rPr>
      <w:rFonts w:ascii="Times New Roman" w:hAnsi="Times New Roman" w:eastAsia="仿宋"/>
      <w:sz w:val="28"/>
      <w:szCs w:val="24"/>
    </w:rPr>
  </w:style>
</w:styles>
</file>

<file path=word/_rels/document.xml.rels><?xml version="1.0" encoding="UTF-8" standalone="yes"?>
<Relationships xmlns="http://schemas.openxmlformats.org/package/2006/relationships"><Relationship Id="rId9" Type="http://schemas.openxmlformats.org/officeDocument/2006/relationships/hyperlink" Target="https://baike.baidu.com/pic/&#231;&#177;&#179;&#230;&#152;&#147;&#229;&#142;&#191;/3400087/0/18d8bc3eb13533fa828b05615b8bea1f4134970aed71?fr=lemma%26fromModule=lemma_content-image" TargetMode="Externa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contractReview xmlns="http://schemas.wps.cn/vas-ai-hub/contract-review">
  <reviewItems xmlns="http://schemas.wps.cn/vas-ai-hub/contract-review">
    <reviewItem xmlns="http://schemas.wps.cn/vas-ai-hub/contract-review">
      <errorID xmlns="http://schemas.wps.cn/vas-ai-hub/contract-review">7e8c7667-13d8-44e4-a8df-30b7f7fc0892</errorID>
      <errorWord xmlns="http://schemas.wps.cn/vas-ai-hub/contract-review">及级</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及</item>
      </candidateList>
      <explain xmlns="http://schemas.wps.cn/vas-ai-hub/contract-review">〈连〉连接并列的名词或名词性词组：图书、仪器、标本～其他。注意用“及”连接的成分多在意义上有主次之分，主要的成分放在“及”的前面。</explain>
      <paraID xmlns="http://schemas.wps.cn/vas-ai-hub/contract-review">2D1ACE8D</paraID>
      <start xmlns="http://schemas.wps.cn/vas-ai-hub/contract-review">5</start>
      <end xmlns="http://schemas.wps.cn/vas-ai-hub/contract-review">6</end>
      <status xmlns="http://schemas.wps.cn/vas-ai-hub/contract-review">modified</status>
      <modifiedWord xmlns="http://schemas.wps.cn/vas-ai-hub/contract-review">及</modifiedWord>
      <trackRevisions xmlns="http://schemas.wps.cn/vas-ai-hub/contract-review">false</trackRevisions>
    </reviewItem>
    <reviewItem xmlns="http://schemas.wps.cn/vas-ai-hub/contract-review">
      <errorID xmlns="http://schemas.wps.cn/vas-ai-hub/contract-review">d6ab2f2f-ce81-4b0b-ab35-74984fe27f60</errorID>
      <errorWord xmlns="http://schemas.wps.cn/vas-ai-hub/contract-review">1、</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1.</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6657F5E2</paraID>
      <start xmlns="http://schemas.wps.cn/vas-ai-hub/contract-review">0</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e186c0ac-e36d-4cd2-a74a-a2f91cb5dfe3</errorID>
      <errorWord xmlns="http://schemas.wps.cn/vas-ai-hub/contract-review">浸蚀</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侵蚀</item>
      </candidateList>
      <explain xmlns="http://schemas.wps.cn/vas-ai-hub/contract-review">存在字形相近字词的误用。</explain>
      <paraID xmlns="http://schemas.wps.cn/vas-ai-hub/contract-review"> 2E2CB52</paraID>
      <start xmlns="http://schemas.wps.cn/vas-ai-hub/contract-review">15</start>
      <end xmlns="http://schemas.wps.cn/vas-ai-hub/contract-review">17</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61ddde81-3271-4d8d-80c1-adb178edc581</errorID>
      <errorWord xmlns="http://schemas.wps.cn/vas-ai-hub/contract-review">天以上</errorWord>
      <group xmlns="http://schemas.wps.cn/vas-ai-hub/contract-review">L1_Grammar</group>
      <groupName xmlns="http://schemas.wps.cn/vas-ai-hub/contract-review">语法问题</groupName>
      <ability xmlns="http://schemas.wps.cn/vas-ai-hub/contract-review">L2_Collocation</ability>
      <abilityName xmlns="http://schemas.wps.cn/vas-ai-hub/contract-review">搭配不当</abilityName>
      <candidateList xmlns="http://schemas.wps.cn/vas-ai-hub/contract-review">
        <item xmlns="http://schemas.wps.cn/vas-ai-hub/contract-review">天</item>
      </candidateList>
      <explain xmlns="http://schemas.wps.cn/vas-ai-hub/contract-review">句子中可能存在主谓、动宾、定语中心语、状语中心语、补语中心语、关联词搭配不当等问题。</explain>
      <paraID xmlns="http://schemas.wps.cn/vas-ai-hub/contract-review">79B7FDFD</paraID>
      <start xmlns="http://schemas.wps.cn/vas-ai-hub/contract-review">132</start>
      <end xmlns="http://schemas.wps.cn/vas-ai-hub/contract-review">135</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65be6b25-eb1b-4f37-bedc-913d2c69c47c</errorID>
      <errorWord xmlns="http://schemas.wps.cn/vas-ai-hub/contract-review">居民消费价格（CPI）</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居民消费价格指数（CPI）</item>
      </candidateList>
      <explain xmlns="http://schemas.wps.cn/vas-ai-hub/contract-review"/>
      <paraID xmlns="http://schemas.wps.cn/vas-ai-hub/contract-review">12DEFE3A</paraID>
      <start xmlns="http://schemas.wps.cn/vas-ai-hub/contract-review">10</start>
      <end xmlns="http://schemas.wps.cn/vas-ai-hub/contract-review">23</end>
      <status xmlns="http://schemas.wps.cn/vas-ai-hub/contract-review">modified</status>
      <modifiedWord xmlns="http://schemas.wps.cn/vas-ai-hub/contract-review">居民消费价格指数（CPI）</modifiedWord>
      <trackRevisions xmlns="http://schemas.wps.cn/vas-ai-hub/contract-review">false</trackRevisions>
    </reviewItem>
    <reviewItem xmlns="http://schemas.wps.cn/vas-ai-hub/contract-review">
      <errorID xmlns="http://schemas.wps.cn/vas-ai-hub/contract-review">dbdf1023-a0d4-4796-b244-a3de122a116f</errorID>
      <errorWord xmlns="http://schemas.wps.cn/vas-ai-hub/contract-review">2、</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2.</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1A4B88F0</paraID>
      <start xmlns="http://schemas.wps.cn/vas-ai-hub/contract-review">0</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99017042-eccd-4a4e-befe-6ea987dee672</errorID>
      <errorWord xmlns="http://schemas.wps.cn/vas-ai-hub/contract-review">由</errorWord>
      <group xmlns="http://schemas.wps.cn/vas-ai-hub/contract-review">L1_Grammar</group>
      <groupName xmlns="http://schemas.wps.cn/vas-ai-hub/contract-review">语法问题</groupName>
      <ability xmlns="http://schemas.wps.cn/vas-ai-hub/contract-review">L2_Confusion</ability>
      <abilityName xmlns="http://schemas.wps.cn/vas-ai-hub/contract-review">结构混乱</abilityName>
      <candidateList xmlns="http://schemas.wps.cn/vas-ai-hub/contract-review">
        <item xmlns="http://schemas.wps.cn/vas-ai-hub/contract-review">，它们由</item>
      </candidateList>
      <explain xmlns="http://schemas.wps.cn/vas-ai-hub/contract-review">句子中可能存在两种以上的句法结构，导致结构混乱。</explain>
      <paraID xmlns="http://schemas.wps.cn/vas-ai-hub/contract-review">5A7E9F93</paraID>
      <start xmlns="http://schemas.wps.cn/vas-ai-hub/contract-review">305</start>
      <end xmlns="http://schemas.wps.cn/vas-ai-hub/contract-review">306</end>
      <status xmlns="http://schemas.wps.cn/vas-ai-hub/contract-review">ignored</status>
      <modifiedWord xmlns="http://schemas.wps.cn/vas-ai-hub/contract-review"/>
      <trackRevisions xmlns="http://schemas.wps.cn/vas-ai-hub/contract-review">false</trackRevisions>
    </reviewItem>
    <reviewItem xmlns="http://schemas.wps.cn/vas-ai-hub/contract-review">
      <errorID xmlns="http://schemas.wps.cn/vas-ai-hub/contract-review">07978b0b-9039-47a7-a70d-fbed983bacea</errorID>
      <errorWord xmlns="http://schemas.wps.cn/vas-ai-hub/contract-review">3、</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3.</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19151D23</paraID>
      <start xmlns="http://schemas.wps.cn/vas-ai-hub/contract-review">0</start>
      <end xmlns="http://schemas.wps.cn/vas-ai-hub/contract-review">2</end>
      <status xmlns="http://schemas.wps.cn/vas-ai-hub/contract-review">ignored</status>
      <modifiedWord xmlns="http://schemas.wps.cn/vas-ai-hub/contract-review"/>
      <trackRevisions xmlns="http://schemas.wps.cn/vas-ai-hub/contract-review">false</trackRevisions>
    </reviewItem>
    <reviewItem xmlns="http://schemas.wps.cn/vas-ai-hub/contract-review">
      <errorID xmlns="http://schemas.wps.cn/vas-ai-hub/contract-review">b3517e15-e2fb-4e50-a67e-39eec23f7ad1</errorID>
      <errorWord xmlns="http://schemas.wps.cn/vas-ai-hub/contract-review">“十大”</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explain xmlns="http://schemas.wps.cn/vas-ai-hub/contract-review">无建议</explain>
      <paraID xmlns="http://schemas.wps.cn/vas-ai-hub/contract-review">1C15713C</paraID>
      <start xmlns="http://schemas.wps.cn/vas-ai-hub/contract-review">18</start>
      <end xmlns="http://schemas.wps.cn/vas-ai-hub/contract-review">22</end>
      <status xmlns="http://schemas.wps.cn/vas-ai-hub/contract-review">ignored</status>
      <modifiedWord xmlns="http://schemas.wps.cn/vas-ai-hub/contract-review"/>
      <trackRevisions xmlns="http://schemas.wps.cn/vas-ai-hub/contract-review">false</trackRevisions>
    </reviewItem>
    <reviewItem xmlns="http://schemas.wps.cn/vas-ai-hub/contract-review">
      <errorID xmlns="http://schemas.wps.cn/vas-ai-hub/contract-review">fae629a8-d0bf-4797-93ce-10e256e2cea9</errorID>
      <errorWord xmlns="http://schemas.wps.cn/vas-ai-hub/contract-review">1、</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1.</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4BCB36FA</paraID>
      <start xmlns="http://schemas.wps.cn/vas-ai-hub/contract-review">0</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3a76274b-aa8e-4724-8ca6-87800a194836</errorID>
      <errorWord xmlns="http://schemas.wps.cn/vas-ai-hub/contract-review">2、</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2.</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 44A38CE</paraID>
      <start xmlns="http://schemas.wps.cn/vas-ai-hub/contract-review">0</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58510436-f968-4284-b2a2-dd8edcd01e68</errorID>
      <errorWord xmlns="http://schemas.wps.cn/vas-ai-hub/contract-review">3、</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3.</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44A3A353</paraID>
      <start xmlns="http://schemas.wps.cn/vas-ai-hub/contract-review">0</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623b3a90-2894-4299-bdb1-70e40d0e3b50</errorID>
      <errorWord xmlns="http://schemas.wps.cn/vas-ai-hub/contract-review">大大</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大幅</item>
      </candidateList>
      <explain xmlns="http://schemas.wps.cn/vas-ai-hub/contract-review">“大大～提升”搭配不当，建议修改为“大幅～提升”。</explain>
      <paraID xmlns="http://schemas.wps.cn/vas-ai-hub/contract-review">44A3A353</paraID>
      <start xmlns="http://schemas.wps.cn/vas-ai-hub/contract-review">35</start>
      <end xmlns="http://schemas.wps.cn/vas-ai-hub/contract-review">37</end>
      <status xmlns="http://schemas.wps.cn/vas-ai-hub/contract-review">modified</status>
      <modifiedWord xmlns="http://schemas.wps.cn/vas-ai-hub/contract-review">大幅</modifiedWord>
      <trackRevisions xmlns="http://schemas.wps.cn/vas-ai-hub/contract-review">false</trackRevisions>
    </reviewItem>
    <reviewItem xmlns="http://schemas.wps.cn/vas-ai-hub/contract-review">
      <errorID xmlns="http://schemas.wps.cn/vas-ai-hub/contract-review">f7981d8a-f181-4a12-b1ce-a90e6a2394ae</errorID>
      <errorWord xmlns="http://schemas.wps.cn/vas-ai-hub/contract-review">1、</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1.</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22A67421</paraID>
      <start xmlns="http://schemas.wps.cn/vas-ai-hub/contract-review">0</start>
      <end xmlns="http://schemas.wps.cn/vas-ai-hub/contract-review">2</end>
      <status xmlns="http://schemas.wps.cn/vas-ai-hub/contract-review">ignored</status>
      <modifiedWord xmlns="http://schemas.wps.cn/vas-ai-hub/contract-review"/>
      <trackRevisions xmlns="http://schemas.wps.cn/vas-ai-hub/contract-review">false</trackRevisions>
    </reviewItem>
    <reviewItem xmlns="http://schemas.wps.cn/vas-ai-hub/contract-review">
      <errorID xmlns="http://schemas.wps.cn/vas-ai-hub/contract-review">f08e2876-7a5e-4a09-bd8d-24cf8d8ed7e9</errorID>
      <errorWord xmlns="http://schemas.wps.cn/vas-ai-hub/contract-review">2、</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2.</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367DB8B2</paraID>
      <start xmlns="http://schemas.wps.cn/vas-ai-hub/contract-review">0</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c78d1c3c-2f7e-4da6-ba4c-1b0a3b3a998a</errorID>
      <errorWord xmlns="http://schemas.wps.cn/vas-ai-hub/contract-review">3、</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3.</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300E4996</paraID>
      <start xmlns="http://schemas.wps.cn/vas-ai-hub/contract-review">0</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ce52a229-6bc9-42e5-a393-8bcf72320a66</errorID>
      <errorWord xmlns="http://schemas.wps.cn/vas-ai-hub/contract-review">4、</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4.</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  7586C2</paraID>
      <start xmlns="http://schemas.wps.cn/vas-ai-hub/contract-review">0</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6997ded8-e75b-44f5-bf50-b52a7645f1ec</errorID>
      <errorWord xmlns="http://schemas.wps.cn/vas-ai-hub/contract-review">5、</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5.</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77A53367</paraID>
      <start xmlns="http://schemas.wps.cn/vas-ai-hub/contract-review">0</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05b0bff9-c6ff-47a8-ab1e-4765150cd015</errorID>
      <errorWord xmlns="http://schemas.wps.cn/vas-ai-hub/contract-review">1、</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1.</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3A3A46E6</paraID>
      <start xmlns="http://schemas.wps.cn/vas-ai-hub/contract-review">0</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77da94ef-c060-4e10-a652-ee188ea3d1f8</errorID>
      <errorWord xmlns="http://schemas.wps.cn/vas-ai-hub/contract-review">2、</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2.</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55629E37</paraID>
      <start xmlns="http://schemas.wps.cn/vas-ai-hub/contract-review">0</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5fa5c20c-ff5e-4b80-b919-d9944b9e861b</errorID>
      <errorWord xmlns="http://schemas.wps.cn/vas-ai-hub/contract-review">本本</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本</item>
      </candidateList>
      <explain xmlns="http://schemas.wps.cn/vas-ai-hub/contract-review">❶（～儿）〈名〉本子❶：书～｜账～儿。❷版本：刻～｜抄～｜稿～。❸（～儿）演出的底本：话～｜剧～。❹封建时代指奏章：修～（拟奏章）｜奏上一～。❺（～儿）〈量〉a）用于书籍簿册：五～书｜两～儿账。b）用于戏：头～《西游记》。c）用于一定长度的影片：这部电影是十四～。</explain>
      <paraID xmlns="http://schemas.wps.cn/vas-ai-hub/contract-review"> 3B32260</paraID>
      <start xmlns="http://schemas.wps.cn/vas-ai-hub/contract-review">0</start>
      <end xmlns="http://schemas.wps.cn/vas-ai-hub/contract-review">1</end>
      <status xmlns="http://schemas.wps.cn/vas-ai-hub/contract-review">modified</status>
      <modifiedWord xmlns="http://schemas.wps.cn/vas-ai-hub/contract-review">本</modifiedWord>
      <trackRevisions xmlns="http://schemas.wps.cn/vas-ai-hub/contract-review">false</trackRevisions>
    </reviewItem>
    <reviewItem xmlns="http://schemas.wps.cn/vas-ai-hub/contract-review">
      <errorID xmlns="http://schemas.wps.cn/vas-ai-hub/contract-review">90d090b0-2435-4c42-adc8-d270acde507e</errorID>
      <errorWord xmlns="http://schemas.wps.cn/vas-ai-hub/contract-review">见表</errorWord>
      <group xmlns="http://schemas.wps.cn/vas-ai-hub/contract-review">L1_Word</group>
      <groupName xmlns="http://schemas.wps.cn/vas-ai-hub/contract-review">字词问题</groupName>
      <ability xmlns="http://schemas.wps.cn/vas-ai-hub/contract-review">L2_Typo</ability>
      <abilityName xmlns="http://schemas.wps.cn/vas-ai-hub/contract-review">字词错误</abilityName>
      <candidateList xmlns="http://schemas.wps.cn/vas-ai-hub/contract-review">
        <item xmlns="http://schemas.wps.cn/vas-ai-hub/contract-review">见</item>
      </candidateList>
      <explain xmlns="http://schemas.wps.cn/vas-ai-hub/contract-review"/>
      <paraID xmlns="http://schemas.wps.cn/vas-ai-hub/contract-review">1F4C6347</paraID>
      <start xmlns="http://schemas.wps.cn/vas-ai-hub/contract-review">186</start>
      <end xmlns="http://schemas.wps.cn/vas-ai-hub/contract-review">187</end>
      <status xmlns="http://schemas.wps.cn/vas-ai-hub/contract-review">modified</status>
      <modifiedWord xmlns="http://schemas.wps.cn/vas-ai-hub/contract-review">见</modifiedWord>
      <trackRevisions xmlns="http://schemas.wps.cn/vas-ai-hub/contract-review">false</trackRevisions>
    </reviewItem>
    <reviewItem xmlns="http://schemas.wps.cn/vas-ai-hub/contract-review">
      <errorID xmlns="http://schemas.wps.cn/vas-ai-hub/contract-review">c2a513c2-dd37-4ebe-9bc3-3c0820c478c4</errorID>
      <errorWord xmlns="http://schemas.wps.cn/vas-ai-hub/contract-review">1、</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1.</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1ACAEFD2</paraID>
      <start xmlns="http://schemas.wps.cn/vas-ai-hub/contract-review">0</start>
      <end xmlns="http://schemas.wps.cn/vas-ai-hub/contract-review">2</end>
      <status xmlns="http://schemas.wps.cn/vas-ai-hub/contract-review">ignored</status>
      <modifiedWord xmlns="http://schemas.wps.cn/vas-ai-hub/contract-review"/>
      <trackRevisions xmlns="http://schemas.wps.cn/vas-ai-hub/contract-review">false</trackRevisions>
    </reviewItem>
    <reviewItem xmlns="http://schemas.wps.cn/vas-ai-hub/contract-review">
      <errorID xmlns="http://schemas.wps.cn/vas-ai-hub/contract-review">30c95af8-2e7f-4c24-95d6-d9660c94943e</errorID>
      <errorWord xmlns="http://schemas.wps.cn/vas-ai-hub/contract-review">2、</errorWord>
      <group xmlns="http://schemas.wps.cn/vas-ai-hub/contract-review">L1_Format</group>
      <groupName xmlns="http://schemas.wps.cn/vas-ai-hub/contract-review">格式问题</groupName>
      <ability xmlns="http://schemas.wps.cn/vas-ai-hub/contract-review">L2_Ordinal</ability>
      <abilityName xmlns="http://schemas.wps.cn/vas-ai-hub/contract-review">序号格式</abilityName>
      <candidateList xmlns="http://schemas.wps.cn/vas-ai-hub/contract-review">
        <item xmlns="http://schemas.wps.cn/vas-ai-hub/contract-review">2.</item>
      </candidateList>
      <explain xmlns="http://schemas.wps.cn/vas-ai-hub/contract-review">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xmlns="http://schemas.wps.cn/vas-ai-hub/contract-review">65227640</paraID>
      <start xmlns="http://schemas.wps.cn/vas-ai-hub/contract-review">0</start>
      <end xmlns="http://schemas.wps.cn/vas-ai-hub/contract-review">2</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256d950b-987e-469d-a399-7a343ea5e172</errorID>
      <errorWord xmlns="http://schemas.wps.cn/vas-ai-hub/contract-review">&lt;</errorWord>
      <group xmlns="http://schemas.wps.cn/vas-ai-hub/contract-review">L1_Format</group>
      <groupName xmlns="http://schemas.wps.cn/vas-ai-hub/contract-review">格式问题</groupName>
      <ability xmlns="http://schemas.wps.cn/vas-ai-hub/contract-review">L2_HalfPunc</ability>
      <abilityName xmlns="http://schemas.wps.cn/vas-ai-hub/contract-review">全半角检查</abilityName>
      <candidateList xmlns="http://schemas.wps.cn/vas-ai-hub/contract-review">
        <item xmlns="http://schemas.wps.cn/vas-ai-hub/contract-review">〈</item>
      </candidateList>
      <explain xmlns="http://schemas.wps.cn/vas-ai-hub/contract-review">文本全半角错误。</explain>
      <paraID xmlns="http://schemas.wps.cn/vas-ai-hub/contract-review">34DBA7D0</paraID>
      <start xmlns="http://schemas.wps.cn/vas-ai-hub/contract-review">55</start>
      <end xmlns="http://schemas.wps.cn/vas-ai-hub/contract-review">56</end>
      <status xmlns="http://schemas.wps.cn/vas-ai-hub/contract-review">unmodified</status>
      <modifiedWord xmlns="http://schemas.wps.cn/vas-ai-hub/contract-review"/>
      <trackRevisions xmlns="http://schemas.wps.cn/vas-ai-hub/contract-review">false</trackRevisions>
    </reviewItem>
    <reviewItem xmlns="http://schemas.wps.cn/vas-ai-hub/contract-review">
      <errorID xmlns="http://schemas.wps.cn/vas-ai-hub/contract-review">3b2f3b47-c350-41ec-b397-91e2f754a97a</errorID>
      <errorWord xmlns="http://schemas.wps.cn/vas-ai-hub/contract-review">&gt;的通知》</errorWord>
      <group xmlns="http://schemas.wps.cn/vas-ai-hub/contract-review">L1_Punc</group>
      <groupName xmlns="http://schemas.wps.cn/vas-ai-hub/contract-review">标点问题</groupName>
      <ability xmlns="http://schemas.wps.cn/vas-ai-hub/contract-review">L2_Punc</ability>
      <abilityName xmlns="http://schemas.wps.cn/vas-ai-hub/contract-review">标点符号检查</abilityName>
      <candidateList xmlns="http://schemas.wps.cn/vas-ai-hub/contract-review">
        <item xmlns="http://schemas.wps.cn/vas-ai-hub/contract-review">〉的通知》</item>
      </candidateList>
      <explain xmlns="http://schemas.wps.cn/vas-ai-hub/contract-review"/>
      <paraID xmlns="http://schemas.wps.cn/vas-ai-hub/contract-review">34DBA7D0</paraID>
      <start xmlns="http://schemas.wps.cn/vas-ai-hub/contract-review">70</start>
      <end xmlns="http://schemas.wps.cn/vas-ai-hub/contract-review">75</end>
      <status xmlns="http://schemas.wps.cn/vas-ai-hub/contract-review">ignored</status>
      <modifiedWord xmlns="http://schemas.wps.cn/vas-ai-hub/contract-review"/>
      <trackRevisions xmlns="http://schemas.wps.cn/vas-ai-hub/contract-review">false</trackRevisions>
    </reviewItem>
    <reviewItem xmlns="http://schemas.wps.cn/vas-ai-hub/contract-review">
      <errorID xmlns="http://schemas.wps.cn/vas-ai-hub/contract-review">9ead5b5c-5d3e-45b9-b501-b4ab557d33ce</errorID>
      <errorWord xmlns="http://schemas.wps.cn/vas-ai-hub/contract-review">;</errorWord>
      <group xmlns="http://schemas.wps.cn/vas-ai-hub/contract-review">L1_Format</group>
      <groupName xmlns="http://schemas.wps.cn/vas-ai-hub/contract-review">格式问题</groupName>
      <ability xmlns="http://schemas.wps.cn/vas-ai-hub/contract-review">L2_HalfPunc</ability>
      <abilityName xmlns="http://schemas.wps.cn/vas-ai-hub/contract-review">全半角检查</abilityName>
      <candidateList xmlns="http://schemas.wps.cn/vas-ai-hub/contract-review">
        <item xmlns="http://schemas.wps.cn/vas-ai-hub/contract-review">；</item>
      </candidateList>
      <explain xmlns="http://schemas.wps.cn/vas-ai-hub/contract-review">文本全半角错误。</explain>
      <paraID xmlns="http://schemas.wps.cn/vas-ai-hub/contract-review">243B88E9</paraID>
      <start xmlns="http://schemas.wps.cn/vas-ai-hub/contract-review">24</start>
      <end xmlns="http://schemas.wps.cn/vas-ai-hub/contract-review">25</end>
      <status xmlns="http://schemas.wps.cn/vas-ai-hub/contract-review">modified</status>
      <modifiedWord xmlns="http://schemas.wps.cn/vas-ai-hub/contract-review">；</modifiedWord>
      <trackRevisions xmlns="http://schemas.wps.cn/vas-ai-hub/contract-review">false</trackRevisions>
    </reviewItem>
    <reviewItem xmlns="http://schemas.wps.cn/vas-ai-hub/contract-review">
      <errorID xmlns="http://schemas.wps.cn/vas-ai-hub/contract-review">1a89ed38-7861-4fea-aa91-f109e8a9aab6</errorID>
      <errorWord xmlns="http://schemas.wps.cn/vas-ai-hub/contract-review">;</errorWord>
      <group xmlns="http://schemas.wps.cn/vas-ai-hub/contract-review">L1_Format</group>
      <groupName xmlns="http://schemas.wps.cn/vas-ai-hub/contract-review">格式问题</groupName>
      <ability xmlns="http://schemas.wps.cn/vas-ai-hub/contract-review">L2_HalfPunc</ability>
      <abilityName xmlns="http://schemas.wps.cn/vas-ai-hub/contract-review">全半角检查</abilityName>
      <candidateList xmlns="http://schemas.wps.cn/vas-ai-hub/contract-review">
        <item xmlns="http://schemas.wps.cn/vas-ai-hub/contract-review">；</item>
      </candidateList>
      <explain xmlns="http://schemas.wps.cn/vas-ai-hub/contract-review">文本全半角错误。</explain>
      <paraID xmlns="http://schemas.wps.cn/vas-ai-hub/contract-review">243B88E9</paraID>
      <start xmlns="http://schemas.wps.cn/vas-ai-hub/contract-review">47</start>
      <end xmlns="http://schemas.wps.cn/vas-ai-hub/contract-review">48</end>
      <status xmlns="http://schemas.wps.cn/vas-ai-hub/contract-review">modified</status>
      <modifiedWord xmlns="http://schemas.wps.cn/vas-ai-hub/contract-review">；</modifiedWord>
      <trackRevisions xmlns="http://schemas.wps.cn/vas-ai-hub/contract-review">false</trackRevisions>
    </reviewItem>
  </reviewItems>
  <config xmlns="http://schemas.wps.cn/vas-ai-hub/contract-review"/>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fdb7cd-0969-4f9e-a410-21f982e5b126}">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11202</Words>
  <Characters>14344</Characters>
  <Lines>0</Lines>
  <Paragraphs>0</Paragraphs>
  <TotalTime>38</TotalTime>
  <ScaleCrop>false</ScaleCrop>
  <LinksUpToDate>false</LinksUpToDate>
  <CharactersWithSpaces>14346</CharactersWithSpaces>
  <Application>WPS Office_12.1.2.23578_F1E327BC-269C-435d-A152-05C5408002CA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2019-12-08T12:57:00Z</dcterms:created>
  <dc:creator>李仕林</dc:creator>
  <cp:lastModifiedBy>多怪</cp:lastModifiedBy>
  <dcterms:modified xsi:type="dcterms:W3CDTF">2025-12-18T13:28:07Z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2052-12.1.2.23578</vt:lpwstr>
  </property>
  <property fmtid="{D5CDD505-2E9C-101B-9397-08002B2CF9AE}" pid="3" name="ICV">
    <vt:lpwstr>ED3D226D76083FE6A269436926C719E7_43</vt:lpwstr>
  </property>
  <property fmtid="{D5CDD505-2E9C-101B-9397-08002B2CF9AE}" pid="4" name="KSOTemplateDocerSaveRecord">
    <vt:lpwstr>eyJoZGlkIjoiMWYzZDY2MGFmOWU4ZWU3Mjg2ZmFkMDI4ZDlmNTI5MGYiLCJ1c2VySWQiOiIyOTI5NzQxNTAifQ==</vt:lpwstr>
  </property>
</Properties>
</file>